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B6F" w:rsidRPr="00146A54" w:rsidRDefault="00183C38" w:rsidP="002065D4">
      <w:pPr>
        <w:contextualSpacing/>
        <w:jc w:val="center"/>
        <w:rPr>
          <w:rFonts w:asciiTheme="minorBidi" w:hAnsiTheme="minorBidi" w:cstheme="minorBidi"/>
          <w:bCs/>
          <w:u w:val="single"/>
          <w:rtl/>
        </w:rPr>
      </w:pPr>
      <w:r w:rsidRPr="00146A54">
        <w:rPr>
          <w:rFonts w:asciiTheme="minorBidi" w:hAnsiTheme="minorBidi" w:cstheme="minorBidi"/>
          <w:bCs/>
          <w:u w:val="single"/>
          <w:rtl/>
        </w:rPr>
        <w:t xml:space="preserve">الوحدة ز2 التمرين 4 النشرة 3 - ما هي </w:t>
      </w:r>
      <w:r w:rsidR="002065D4">
        <w:rPr>
          <w:rFonts w:asciiTheme="minorBidi" w:hAnsiTheme="minorBidi" w:cstheme="minorBidi" w:hint="cs"/>
          <w:bCs/>
          <w:u w:val="single"/>
          <w:rtl/>
        </w:rPr>
        <w:t>الأشياء التي تتضمنها</w:t>
      </w:r>
      <w:r w:rsidRPr="00146A54">
        <w:rPr>
          <w:rFonts w:asciiTheme="minorBidi" w:hAnsiTheme="minorBidi" w:cstheme="minorBidi"/>
          <w:bCs/>
          <w:u w:val="single"/>
          <w:rtl/>
        </w:rPr>
        <w:t xml:space="preserve"> بروتوكولات مشاركة المعلومات</w:t>
      </w:r>
      <w:r w:rsidRPr="00146A54">
        <w:rPr>
          <w:rStyle w:val="FootnoteReference"/>
          <w:rFonts w:asciiTheme="minorBidi" w:hAnsiTheme="minorBidi" w:cstheme="minorBidi"/>
          <w:bCs/>
          <w:rtl/>
        </w:rPr>
        <w:footnoteReference w:id="1"/>
      </w:r>
    </w:p>
    <w:p w:rsidR="00671CD2" w:rsidRPr="00146A54" w:rsidRDefault="00671CD2" w:rsidP="00246B6F">
      <w:pPr>
        <w:contextualSpacing/>
        <w:rPr>
          <w:rFonts w:asciiTheme="minorBidi" w:hAnsiTheme="minorBidi" w:cstheme="minorBidi"/>
          <w:b/>
          <w:u w:val="single"/>
          <w:rtl/>
        </w:rPr>
      </w:pPr>
    </w:p>
    <w:p w:rsidR="00246B6F" w:rsidRPr="00146A54" w:rsidRDefault="00246B6F" w:rsidP="00246B6F">
      <w:pPr>
        <w:contextualSpacing/>
        <w:rPr>
          <w:rFonts w:asciiTheme="minorBidi" w:hAnsiTheme="minorBidi" w:cstheme="minorBidi"/>
          <w:b/>
          <w:u w:val="single"/>
          <w:rtl/>
        </w:rPr>
      </w:pPr>
    </w:p>
    <w:p w:rsidR="00246B6F" w:rsidRPr="00146A54" w:rsidRDefault="00183C38" w:rsidP="00246B6F">
      <w:pPr>
        <w:autoSpaceDE w:val="0"/>
        <w:autoSpaceDN w:val="0"/>
        <w:adjustRightInd w:val="0"/>
        <w:contextualSpacing/>
        <w:rPr>
          <w:rFonts w:asciiTheme="minorBidi" w:eastAsia="Calibri" w:hAnsiTheme="minorBidi" w:cstheme="minorBidi"/>
          <w:rtl/>
        </w:rPr>
      </w:pPr>
      <w:r w:rsidRPr="00146A54">
        <w:rPr>
          <w:rFonts w:asciiTheme="minorBidi" w:eastAsia="Calibri" w:hAnsiTheme="minorBidi" w:cstheme="minorBidi"/>
          <w:rtl/>
        </w:rPr>
        <w:t xml:space="preserve">في حين تكون آليات التعاون بين الوكالات ضرورية، فإنه من المفيد في كثير من البيئات إبرام </w:t>
      </w:r>
      <w:r w:rsidR="00246B6F">
        <w:rPr>
          <w:rFonts w:ascii="Arial" w:eastAsia="Calibri" w:hAnsi="Arial" w:cs="Arial" w:hint="cs"/>
          <w:rtl/>
        </w:rPr>
        <w:t>"</w:t>
      </w:r>
      <w:r w:rsidRPr="00146A54">
        <w:rPr>
          <w:rFonts w:ascii="Arial" w:eastAsia="Calibri" w:hAnsi="Arial" w:cs="Arial" w:hint="cs"/>
          <w:rtl/>
        </w:rPr>
        <w:t>اتفاقيات</w:t>
      </w:r>
      <w:r w:rsidRPr="00146A54">
        <w:rPr>
          <w:rFonts w:asciiTheme="minorBidi" w:eastAsia="Calibri" w:hAnsiTheme="minorBidi" w:cstheme="minorBidi"/>
          <w:rtl/>
        </w:rPr>
        <w:t xml:space="preserve"> </w:t>
      </w:r>
      <w:r w:rsidRPr="00146A54">
        <w:rPr>
          <w:rFonts w:ascii="Arial" w:eastAsia="Calibri" w:hAnsi="Arial" w:cs="Arial" w:hint="cs"/>
          <w:rtl/>
        </w:rPr>
        <w:t>مستوى</w:t>
      </w:r>
      <w:r w:rsidRPr="00146A54">
        <w:rPr>
          <w:rFonts w:asciiTheme="minorBidi" w:eastAsia="Calibri" w:hAnsiTheme="minorBidi" w:cstheme="minorBidi"/>
          <w:rtl/>
        </w:rPr>
        <w:t xml:space="preserve"> </w:t>
      </w:r>
      <w:r w:rsidRPr="00146A54">
        <w:rPr>
          <w:rFonts w:ascii="Arial" w:eastAsia="Calibri" w:hAnsi="Arial" w:cs="Arial" w:hint="cs"/>
          <w:rtl/>
        </w:rPr>
        <w:t>الخدمة</w:t>
      </w:r>
      <w:r w:rsidRPr="00146A54">
        <w:rPr>
          <w:rFonts w:asciiTheme="minorBidi" w:eastAsia="Calibri" w:hAnsiTheme="minorBidi" w:cstheme="minorBidi"/>
          <w:rtl/>
        </w:rPr>
        <w:t xml:space="preserve">" </w:t>
      </w:r>
      <w:r w:rsidRPr="00146A54">
        <w:rPr>
          <w:rFonts w:ascii="Arial" w:eastAsia="Calibri" w:hAnsi="Arial" w:cs="Arial" w:hint="cs"/>
          <w:rtl/>
        </w:rPr>
        <w:t>أو</w:t>
      </w:r>
      <w:r w:rsidRPr="00146A54">
        <w:rPr>
          <w:rFonts w:asciiTheme="minorBidi" w:eastAsia="Calibri" w:hAnsiTheme="minorBidi" w:cstheme="minorBidi"/>
          <w:rtl/>
        </w:rPr>
        <w:t xml:space="preserve"> </w:t>
      </w:r>
      <w:r w:rsidRPr="00146A54">
        <w:rPr>
          <w:rFonts w:ascii="Arial" w:eastAsia="Calibri" w:hAnsi="Arial" w:cs="Arial" w:hint="cs"/>
          <w:rtl/>
        </w:rPr>
        <w:t>عقود</w:t>
      </w:r>
      <w:r w:rsidRPr="00146A54">
        <w:rPr>
          <w:rFonts w:asciiTheme="minorBidi" w:eastAsia="Calibri" w:hAnsiTheme="minorBidi" w:cstheme="minorBidi"/>
          <w:rtl/>
        </w:rPr>
        <w:t xml:space="preserve"> </w:t>
      </w:r>
      <w:r w:rsidRPr="00146A54">
        <w:rPr>
          <w:rFonts w:ascii="Arial" w:eastAsia="Calibri" w:hAnsi="Arial" w:cs="Arial" w:hint="cs"/>
          <w:rtl/>
        </w:rPr>
        <w:t>الخدمة</w:t>
      </w:r>
      <w:r w:rsidRPr="00146A54">
        <w:rPr>
          <w:rFonts w:asciiTheme="minorBidi" w:eastAsia="Calibri" w:hAnsiTheme="minorBidi" w:cstheme="minorBidi"/>
          <w:rtl/>
        </w:rPr>
        <w:t xml:space="preserve"> </w:t>
      </w:r>
      <w:r w:rsidRPr="00146A54">
        <w:rPr>
          <w:rFonts w:ascii="Arial" w:eastAsia="Calibri" w:hAnsi="Arial" w:cs="Arial" w:hint="cs"/>
          <w:rtl/>
        </w:rPr>
        <w:t>بين</w:t>
      </w:r>
      <w:r w:rsidRPr="00146A54">
        <w:rPr>
          <w:rFonts w:asciiTheme="minorBidi" w:eastAsia="Calibri" w:hAnsiTheme="minorBidi" w:cstheme="minorBidi"/>
          <w:rtl/>
        </w:rPr>
        <w:t xml:space="preserve"> </w:t>
      </w:r>
      <w:r w:rsidRPr="00146A54">
        <w:rPr>
          <w:rFonts w:ascii="Arial" w:eastAsia="Calibri" w:hAnsi="Arial" w:cs="Arial" w:hint="cs"/>
          <w:rtl/>
        </w:rPr>
        <w:t>الوكالات</w:t>
      </w:r>
      <w:r w:rsidRPr="00146A54">
        <w:rPr>
          <w:rFonts w:asciiTheme="minorBidi" w:eastAsia="Calibri" w:hAnsiTheme="minorBidi" w:cstheme="minorBidi"/>
          <w:rtl/>
        </w:rPr>
        <w:t xml:space="preserve"> </w:t>
      </w:r>
      <w:r w:rsidRPr="00146A54">
        <w:rPr>
          <w:rFonts w:ascii="Arial" w:eastAsia="Calibri" w:hAnsi="Arial" w:cs="Arial" w:hint="cs"/>
          <w:rtl/>
        </w:rPr>
        <w:t>المعينة</w:t>
      </w:r>
      <w:r w:rsidRPr="00146A54">
        <w:rPr>
          <w:rFonts w:asciiTheme="minorBidi" w:eastAsia="Calibri" w:hAnsiTheme="minorBidi" w:cstheme="minorBidi"/>
          <w:rtl/>
        </w:rPr>
        <w:t xml:space="preserve"> </w:t>
      </w:r>
      <w:r w:rsidRPr="00146A54">
        <w:rPr>
          <w:rFonts w:ascii="Arial" w:eastAsia="Calibri" w:hAnsi="Arial" w:cs="Arial" w:hint="cs"/>
          <w:rtl/>
        </w:rPr>
        <w:t>العاملة</w:t>
      </w:r>
      <w:r w:rsidRPr="00146A54">
        <w:rPr>
          <w:rFonts w:asciiTheme="minorBidi" w:eastAsia="Calibri" w:hAnsiTheme="minorBidi" w:cstheme="minorBidi"/>
          <w:rtl/>
        </w:rPr>
        <w:t xml:space="preserve"> </w:t>
      </w:r>
      <w:r w:rsidRPr="00146A54">
        <w:rPr>
          <w:rFonts w:ascii="Arial" w:eastAsia="Calibri" w:hAnsi="Arial" w:cs="Arial" w:hint="cs"/>
          <w:rtl/>
        </w:rPr>
        <w:t>في</w:t>
      </w:r>
      <w:r w:rsidRPr="00146A54">
        <w:rPr>
          <w:rFonts w:asciiTheme="minorBidi" w:eastAsia="Calibri" w:hAnsiTheme="minorBidi" w:cstheme="minorBidi"/>
          <w:rtl/>
        </w:rPr>
        <w:t xml:space="preserve"> </w:t>
      </w:r>
      <w:r w:rsidRPr="00146A54">
        <w:rPr>
          <w:rFonts w:ascii="Arial" w:eastAsia="Calibri" w:hAnsi="Arial" w:cs="Arial" w:hint="cs"/>
          <w:rtl/>
        </w:rPr>
        <w:t>بيئة</w:t>
      </w:r>
      <w:r w:rsidRPr="00146A54">
        <w:rPr>
          <w:rFonts w:asciiTheme="minorBidi" w:eastAsia="Calibri" w:hAnsiTheme="minorBidi" w:cstheme="minorBidi"/>
          <w:rtl/>
        </w:rPr>
        <w:t xml:space="preserve"> </w:t>
      </w:r>
      <w:r w:rsidRPr="00146A54">
        <w:rPr>
          <w:rFonts w:ascii="Arial" w:eastAsia="Calibri" w:hAnsi="Arial" w:cs="Arial" w:hint="cs"/>
          <w:rtl/>
        </w:rPr>
        <w:t>واحدة</w:t>
      </w:r>
      <w:r w:rsidRPr="00146A54">
        <w:rPr>
          <w:rFonts w:asciiTheme="minorBidi" w:eastAsia="Calibri" w:hAnsiTheme="minorBidi" w:cstheme="minorBidi"/>
          <w:rtl/>
        </w:rPr>
        <w:t xml:space="preserve">. </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lang w:bidi="ar-EG"/>
        </w:rPr>
      </w:pPr>
    </w:p>
    <w:p w:rsidR="00246B6F" w:rsidRPr="00146A54" w:rsidRDefault="00183C38">
      <w:pPr>
        <w:autoSpaceDE w:val="0"/>
        <w:autoSpaceDN w:val="0"/>
        <w:adjustRightInd w:val="0"/>
        <w:contextualSpacing/>
        <w:rPr>
          <w:rFonts w:asciiTheme="minorBidi" w:eastAsia="Calibri" w:hAnsiTheme="minorBidi" w:cstheme="minorBidi"/>
          <w:b/>
          <w:bCs/>
          <w:rtl/>
        </w:rPr>
      </w:pPr>
      <w:r w:rsidRPr="00146A54">
        <w:rPr>
          <w:rFonts w:asciiTheme="minorBidi" w:eastAsia="Calibri" w:hAnsiTheme="minorBidi" w:cstheme="minorBidi"/>
          <w:rtl/>
        </w:rPr>
        <w:t>تعمل مثل هذه الاتفاقيات</w:t>
      </w:r>
      <w:r w:rsidR="00246B6F">
        <w:rPr>
          <w:rFonts w:asciiTheme="minorBidi" w:eastAsia="Calibri" w:hAnsiTheme="minorBidi" w:cstheme="minorBidi"/>
          <w:rtl/>
        </w:rPr>
        <w:t>/</w:t>
      </w:r>
      <w:r w:rsidRPr="00146A54">
        <w:rPr>
          <w:rFonts w:asciiTheme="minorBidi" w:eastAsia="Calibri" w:hAnsiTheme="minorBidi" w:cstheme="minorBidi"/>
          <w:rtl/>
        </w:rPr>
        <w:t xml:space="preserve">العقود </w:t>
      </w:r>
      <w:r w:rsidRPr="00146A54">
        <w:rPr>
          <w:rFonts w:asciiTheme="minorBidi" w:eastAsia="Calibri" w:hAnsiTheme="minorBidi" w:cstheme="minorBidi"/>
          <w:b/>
          <w:bCs/>
          <w:rtl/>
        </w:rPr>
        <w:t>على بيان المسؤوليات المباشرة بين مقدمي الخدمات في بيئة معينة. ونتيجةً لذلك فإنه يمكنها تيسير:</w:t>
      </w:r>
    </w:p>
    <w:p w:rsidR="00246B6F" w:rsidRPr="00146A54" w:rsidRDefault="00183C38">
      <w:pPr>
        <w:pStyle w:val="ListParagraph"/>
        <w:numPr>
          <w:ilvl w:val="0"/>
          <w:numId w:val="5"/>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bCs/>
          <w:rtl/>
        </w:rPr>
        <w:t>التنسيق</w:t>
      </w:r>
      <w:r w:rsidRPr="00146A54">
        <w:rPr>
          <w:rFonts w:asciiTheme="minorBidi" w:eastAsia="Calibri" w:hAnsiTheme="minorBidi" w:cstheme="minorBidi"/>
          <w:rtl/>
        </w:rPr>
        <w:t xml:space="preserve"> و</w:t>
      </w:r>
    </w:p>
    <w:p w:rsidR="00246B6F" w:rsidRPr="00146A54" w:rsidRDefault="00183C38" w:rsidP="00246B6F">
      <w:pPr>
        <w:pStyle w:val="ListParagraph"/>
        <w:numPr>
          <w:ilvl w:val="0"/>
          <w:numId w:val="5"/>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bCs/>
          <w:rtl/>
        </w:rPr>
        <w:t>التعاون</w:t>
      </w:r>
      <w:r w:rsidR="00146A54">
        <w:rPr>
          <w:rFonts w:asciiTheme="minorBidi" w:eastAsia="Calibri" w:hAnsiTheme="minorBidi" w:cstheme="minorBidi" w:hint="cs"/>
          <w:rtl/>
        </w:rPr>
        <w:t xml:space="preserve"> </w:t>
      </w:r>
      <w:r w:rsidRPr="00246B6F">
        <w:rPr>
          <w:rFonts w:asciiTheme="minorBidi" w:eastAsia="Calibri" w:hAnsiTheme="minorBidi" w:cstheme="minorBidi"/>
          <w:rtl/>
        </w:rPr>
        <w:t>البن</w:t>
      </w:r>
      <w:r w:rsidR="00246B6F" w:rsidRPr="00246B6F">
        <w:rPr>
          <w:rFonts w:asciiTheme="minorBidi" w:eastAsia="Calibri" w:hAnsiTheme="minorBidi" w:cstheme="minorBidi" w:hint="cs"/>
          <w:rtl/>
        </w:rPr>
        <w:t>َّ</w:t>
      </w:r>
      <w:r w:rsidRPr="00246B6F">
        <w:rPr>
          <w:rFonts w:asciiTheme="minorBidi" w:eastAsia="Calibri" w:hAnsiTheme="minorBidi" w:cstheme="minorBidi"/>
          <w:rtl/>
        </w:rPr>
        <w:t>اء</w:t>
      </w:r>
      <w:r w:rsidR="00246B6F">
        <w:rPr>
          <w:rFonts w:asciiTheme="minorBidi" w:eastAsia="Calibri" w:hAnsiTheme="minorBidi" w:cstheme="minorBidi" w:hint="cs"/>
          <w:rtl/>
        </w:rPr>
        <w:t>.</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671CD2" w:rsidRPr="00146A54" w:rsidRDefault="00183C38" w:rsidP="00246B6F">
      <w:pPr>
        <w:autoSpaceDE w:val="0"/>
        <w:autoSpaceDN w:val="0"/>
        <w:adjustRightInd w:val="0"/>
        <w:contextualSpacing/>
        <w:rPr>
          <w:rFonts w:asciiTheme="minorBidi" w:eastAsia="Calibri" w:hAnsiTheme="minorBidi" w:cstheme="minorBidi"/>
          <w:u w:val="single"/>
          <w:rtl/>
        </w:rPr>
      </w:pPr>
      <w:r w:rsidRPr="00146A54">
        <w:rPr>
          <w:rFonts w:asciiTheme="minorBidi" w:eastAsia="Calibri" w:hAnsiTheme="minorBidi" w:cstheme="minorBidi"/>
          <w:u w:val="single"/>
          <w:rtl/>
        </w:rPr>
        <w:t>يمكن استخدام اتفاقيات</w:t>
      </w:r>
      <w:r w:rsidR="00246B6F">
        <w:rPr>
          <w:rFonts w:asciiTheme="minorBidi" w:eastAsia="Calibri" w:hAnsiTheme="minorBidi" w:cstheme="minorBidi"/>
          <w:u w:val="single"/>
          <w:rtl/>
        </w:rPr>
        <w:t>/</w:t>
      </w:r>
      <w:r w:rsidRPr="00146A54">
        <w:rPr>
          <w:rFonts w:asciiTheme="minorBidi" w:eastAsia="Calibri" w:hAnsiTheme="minorBidi" w:cstheme="minorBidi"/>
          <w:u w:val="single"/>
          <w:rtl/>
        </w:rPr>
        <w:t>عقود الخدمة:</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671CD2" w:rsidRPr="00146A54" w:rsidRDefault="00183C38" w:rsidP="00246B6F">
      <w:pPr>
        <w:pStyle w:val="ListParagraph"/>
        <w:numPr>
          <w:ilvl w:val="0"/>
          <w:numId w:val="6"/>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bCs/>
          <w:rtl/>
        </w:rPr>
        <w:t>بين الوكالات العاملة في نفس المنطقة أو المناطق المماثلة</w:t>
      </w:r>
      <w:r w:rsidRPr="00146A54">
        <w:rPr>
          <w:rFonts w:asciiTheme="minorBidi" w:eastAsia="Calibri" w:hAnsiTheme="minorBidi" w:cstheme="minorBidi"/>
          <w:rtl/>
        </w:rPr>
        <w:t xml:space="preserve"> (مثال، حيث تعمل إحدى الوكالات في مجال مكافحة العنف الجنساني وتعمل أخرى في حماية الأطفال في نفس المنطقة)</w:t>
      </w:r>
      <w:r w:rsidR="00246B6F">
        <w:rPr>
          <w:rFonts w:asciiTheme="minorBidi" w:eastAsia="Calibri" w:hAnsiTheme="minorBidi" w:cstheme="minorBidi"/>
          <w:rtl/>
        </w:rPr>
        <w:t>؛</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183C38" w:rsidP="00246B6F">
      <w:pPr>
        <w:pStyle w:val="ListParagraph"/>
        <w:numPr>
          <w:ilvl w:val="0"/>
          <w:numId w:val="6"/>
        </w:numPr>
        <w:autoSpaceDE w:val="0"/>
        <w:autoSpaceDN w:val="0"/>
        <w:adjustRightInd w:val="0"/>
        <w:rPr>
          <w:rFonts w:asciiTheme="minorBidi" w:eastAsia="Calibri" w:hAnsiTheme="minorBidi" w:cstheme="minorBidi"/>
          <w:i/>
          <w:rtl/>
        </w:rPr>
      </w:pPr>
      <w:r w:rsidRPr="00146A54">
        <w:rPr>
          <w:rFonts w:asciiTheme="minorBidi" w:eastAsia="Calibri" w:hAnsiTheme="minorBidi" w:cstheme="minorBidi"/>
          <w:bCs/>
          <w:rtl/>
        </w:rPr>
        <w:t>بين وكالات إدارة الحالات ومقدمي خدمات الإحالة</w:t>
      </w:r>
      <w:r w:rsidRPr="00146A54">
        <w:rPr>
          <w:rFonts w:asciiTheme="minorBidi" w:eastAsia="Calibri" w:hAnsiTheme="minorBidi" w:cstheme="minorBidi"/>
          <w:rtl/>
        </w:rPr>
        <w:t xml:space="preserve"> (مثال، حيثما تتفق الوكالتان على تقديم الخدمات للأطفال والأسر المحالة بواسطة وكالة إدارة الحال</w:t>
      </w:r>
      <w:r w:rsidR="00246B6F">
        <w:rPr>
          <w:rFonts w:asciiTheme="minorBidi" w:eastAsia="Calibri" w:hAnsiTheme="minorBidi" w:cstheme="minorBidi" w:hint="cs"/>
          <w:rtl/>
        </w:rPr>
        <w:t>ات</w:t>
      </w:r>
      <w:r w:rsidRPr="00146A54">
        <w:rPr>
          <w:rFonts w:asciiTheme="minorBidi" w:eastAsia="Calibri" w:hAnsiTheme="minorBidi" w:cstheme="minorBidi"/>
          <w:rtl/>
        </w:rPr>
        <w:t xml:space="preserve"> في غضون فترة محددة من الزمن وبدون طلب الحصول على معلومات شخصية). </w:t>
      </w:r>
    </w:p>
    <w:p w:rsidR="00246B6F" w:rsidRPr="00146A54" w:rsidRDefault="00246B6F" w:rsidP="00246B6F">
      <w:pPr>
        <w:pStyle w:val="ListParagraph"/>
        <w:autoSpaceDE w:val="0"/>
        <w:autoSpaceDN w:val="0"/>
        <w:adjustRightInd w:val="0"/>
        <w:rPr>
          <w:rFonts w:asciiTheme="minorBidi" w:eastAsia="Calibri" w:hAnsiTheme="minorBidi" w:cstheme="minorBidi"/>
          <w:i/>
          <w:rtl/>
        </w:rPr>
      </w:pPr>
    </w:p>
    <w:p w:rsidR="00671CD2" w:rsidRPr="00146A54" w:rsidRDefault="00183C38" w:rsidP="00246B6F">
      <w:pPr>
        <w:pStyle w:val="ListParagraph"/>
        <w:autoSpaceDE w:val="0"/>
        <w:autoSpaceDN w:val="0"/>
        <w:adjustRightInd w:val="0"/>
        <w:rPr>
          <w:rFonts w:asciiTheme="minorBidi" w:eastAsia="Calibri" w:hAnsiTheme="minorBidi" w:cstheme="minorBidi"/>
          <w:iCs/>
          <w:rtl/>
        </w:rPr>
      </w:pPr>
      <w:r w:rsidRPr="00146A54">
        <w:rPr>
          <w:rFonts w:asciiTheme="minorBidi" w:eastAsia="Calibri" w:hAnsiTheme="minorBidi" w:cstheme="minorBidi"/>
          <w:iCs/>
          <w:rtl/>
        </w:rPr>
        <w:t xml:space="preserve">يشير ذلك إلى الخدمات </w:t>
      </w:r>
      <w:r w:rsidR="00246B6F">
        <w:rPr>
          <w:rFonts w:asciiTheme="minorBidi" w:eastAsia="Calibri" w:hAnsiTheme="minorBidi" w:cstheme="minorBidi" w:hint="cs"/>
          <w:iCs/>
          <w:rtl/>
        </w:rPr>
        <w:t xml:space="preserve">التي </w:t>
      </w:r>
      <w:r w:rsidRPr="00146A54">
        <w:rPr>
          <w:rFonts w:asciiTheme="minorBidi" w:eastAsia="Calibri" w:hAnsiTheme="minorBidi" w:cstheme="minorBidi"/>
          <w:iCs/>
          <w:rtl/>
        </w:rPr>
        <w:t xml:space="preserve">لا يحتاج </w:t>
      </w:r>
      <w:r w:rsidR="00246B6F">
        <w:rPr>
          <w:rFonts w:asciiTheme="minorBidi" w:eastAsia="Calibri" w:hAnsiTheme="minorBidi" w:cstheme="minorBidi" w:hint="cs"/>
          <w:iCs/>
          <w:rtl/>
        </w:rPr>
        <w:t xml:space="preserve">فيها </w:t>
      </w:r>
      <w:r w:rsidRPr="00146A54">
        <w:rPr>
          <w:rFonts w:asciiTheme="minorBidi" w:eastAsia="Calibri" w:hAnsiTheme="minorBidi" w:cstheme="minorBidi"/>
          <w:iCs/>
          <w:rtl/>
        </w:rPr>
        <w:t xml:space="preserve">مقدم خدمة الإحالة إلى معرفة وضع </w:t>
      </w:r>
      <w:r w:rsidR="00246B6F">
        <w:rPr>
          <w:rFonts w:asciiTheme="minorBidi" w:eastAsia="Calibri" w:hAnsiTheme="minorBidi" w:cstheme="minorBidi" w:hint="cs"/>
          <w:iCs/>
          <w:rtl/>
        </w:rPr>
        <w:t>احتياجات الحماية الخاصة ب</w:t>
      </w:r>
      <w:r w:rsidRPr="00146A54">
        <w:rPr>
          <w:rFonts w:asciiTheme="minorBidi" w:eastAsia="Calibri" w:hAnsiTheme="minorBidi" w:cstheme="minorBidi"/>
          <w:iCs/>
          <w:rtl/>
        </w:rPr>
        <w:t>الطفل من حيث حاجته للمأوى، والمواد غير الغذائية، والخدمات المماثلة الأخرى. وحيثما لا يكون مقدم الخدمة في حاجة إلى معرفة هذه المعلومات (مثل</w:t>
      </w:r>
      <w:r w:rsidR="00246B6F">
        <w:rPr>
          <w:rFonts w:asciiTheme="minorBidi" w:eastAsia="Calibri" w:hAnsiTheme="minorBidi" w:cstheme="minorBidi" w:hint="cs"/>
          <w:iCs/>
          <w:rtl/>
        </w:rPr>
        <w:t>ما يكون عليه الحال</w:t>
      </w:r>
      <w:r w:rsidRPr="00146A54">
        <w:rPr>
          <w:rFonts w:asciiTheme="minorBidi" w:eastAsia="Calibri" w:hAnsiTheme="minorBidi" w:cstheme="minorBidi"/>
          <w:iCs/>
          <w:rtl/>
        </w:rPr>
        <w:t xml:space="preserve"> </w:t>
      </w:r>
      <w:r w:rsidR="00246B6F">
        <w:rPr>
          <w:rFonts w:asciiTheme="minorBidi" w:eastAsia="Calibri" w:hAnsiTheme="minorBidi" w:cstheme="minorBidi" w:hint="cs"/>
          <w:iCs/>
          <w:rtl/>
        </w:rPr>
        <w:t xml:space="preserve">في </w:t>
      </w:r>
      <w:r w:rsidRPr="00146A54">
        <w:rPr>
          <w:rFonts w:asciiTheme="minorBidi" w:eastAsia="Calibri" w:hAnsiTheme="minorBidi" w:cstheme="minorBidi"/>
          <w:iCs/>
          <w:rtl/>
        </w:rPr>
        <w:t xml:space="preserve">خدمات المشورة)، فإن مثل هذه الاتفاقيات تندرج تحت الفئة الأولى). </w:t>
      </w:r>
    </w:p>
    <w:p w:rsidR="00671CD2" w:rsidRPr="00146A54" w:rsidRDefault="00671CD2"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671CD2" w:rsidRPr="00146A54" w:rsidRDefault="00183C38" w:rsidP="00246B6F">
      <w:pPr>
        <w:autoSpaceDE w:val="0"/>
        <w:autoSpaceDN w:val="0"/>
        <w:adjustRightInd w:val="0"/>
        <w:contextualSpacing/>
        <w:rPr>
          <w:rFonts w:asciiTheme="minorBidi" w:eastAsia="Calibri" w:hAnsiTheme="minorBidi" w:cstheme="minorBidi"/>
          <w:u w:val="single"/>
          <w:rtl/>
        </w:rPr>
      </w:pPr>
      <w:r w:rsidRPr="00146A54">
        <w:rPr>
          <w:rFonts w:asciiTheme="minorBidi" w:eastAsia="Calibri" w:hAnsiTheme="minorBidi" w:cstheme="minorBidi"/>
          <w:u w:val="single"/>
          <w:rtl/>
        </w:rPr>
        <w:t>بدون اتفاقيات الخدمة بين وكالات إدارة الحالات، يمكن للمشاكل التالية أن تحدث:</w:t>
      </w:r>
    </w:p>
    <w:p w:rsidR="00246B6F" w:rsidRPr="00146A54" w:rsidRDefault="00246B6F" w:rsidP="00246B6F">
      <w:pPr>
        <w:pStyle w:val="ListParagraph"/>
        <w:autoSpaceDE w:val="0"/>
        <w:autoSpaceDN w:val="0"/>
        <w:adjustRightInd w:val="0"/>
        <w:ind w:left="360"/>
        <w:rPr>
          <w:rFonts w:asciiTheme="minorBidi" w:eastAsia="Calibri" w:hAnsiTheme="minorBidi" w:cstheme="minorBidi"/>
          <w:rtl/>
        </w:rPr>
      </w:pPr>
    </w:p>
    <w:p w:rsidR="00671CD2" w:rsidRPr="00146A54" w:rsidRDefault="00183C38" w:rsidP="00246B6F">
      <w:pPr>
        <w:pStyle w:val="ListParagraph"/>
        <w:numPr>
          <w:ilvl w:val="0"/>
          <w:numId w:val="2"/>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تكرار الخدمات</w:t>
      </w:r>
    </w:p>
    <w:p w:rsidR="00671CD2" w:rsidRPr="00146A54" w:rsidRDefault="00183C38" w:rsidP="00246B6F">
      <w:pPr>
        <w:pStyle w:val="ListParagraph"/>
        <w:numPr>
          <w:ilvl w:val="0"/>
          <w:numId w:val="2"/>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انتهاك السرية</w:t>
      </w:r>
    </w:p>
    <w:p w:rsidR="00671CD2" w:rsidRPr="00146A54" w:rsidRDefault="00183C38" w:rsidP="00246B6F">
      <w:pPr>
        <w:pStyle w:val="ListParagraph"/>
        <w:numPr>
          <w:ilvl w:val="0"/>
          <w:numId w:val="2"/>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ممارسة الموافقة المستنيرة بصورة مختلفة</w:t>
      </w:r>
    </w:p>
    <w:p w:rsidR="00671CD2" w:rsidRPr="00146A54" w:rsidRDefault="00183C38">
      <w:pPr>
        <w:pStyle w:val="ListParagraph"/>
        <w:numPr>
          <w:ilvl w:val="0"/>
          <w:numId w:val="2"/>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تزويد الأطفال والأسر بمعلومات متضاربة (حول الإبلاغ الإلزامي، والخدمات في المجتمع، وما إلى ذلك)</w:t>
      </w:r>
    </w:p>
    <w:p w:rsidR="00671CD2" w:rsidRPr="00146A54" w:rsidRDefault="00183C38">
      <w:pPr>
        <w:pStyle w:val="ListParagraph"/>
        <w:numPr>
          <w:ilvl w:val="0"/>
          <w:numId w:val="2"/>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 xml:space="preserve">احتمالية تعريض الطفل أو الأبوين المحبطين للأذى. </w:t>
      </w:r>
    </w:p>
    <w:p w:rsidR="00671CD2" w:rsidRPr="00146A54" w:rsidRDefault="00671CD2" w:rsidP="00246B6F">
      <w:pPr>
        <w:autoSpaceDE w:val="0"/>
        <w:autoSpaceDN w:val="0"/>
        <w:adjustRightInd w:val="0"/>
        <w:contextualSpacing/>
        <w:rPr>
          <w:rFonts w:asciiTheme="minorBidi" w:eastAsia="Calibri" w:hAnsiTheme="minorBidi" w:cstheme="minorBidi"/>
          <w:rtl/>
        </w:rPr>
      </w:pPr>
    </w:p>
    <w:p w:rsidR="00246B6F" w:rsidRPr="00146A54" w:rsidRDefault="00183C38" w:rsidP="00246B6F">
      <w:pPr>
        <w:autoSpaceDE w:val="0"/>
        <w:autoSpaceDN w:val="0"/>
        <w:adjustRightInd w:val="0"/>
        <w:contextualSpacing/>
        <w:rPr>
          <w:rFonts w:asciiTheme="minorBidi" w:eastAsia="Calibri" w:hAnsiTheme="minorBidi" w:cstheme="minorBidi"/>
          <w:b/>
          <w:rtl/>
        </w:rPr>
      </w:pPr>
      <w:r w:rsidRPr="00146A54">
        <w:rPr>
          <w:rFonts w:asciiTheme="minorBidi" w:eastAsia="Calibri" w:hAnsiTheme="minorBidi" w:cstheme="minorBidi"/>
          <w:b/>
          <w:rtl/>
        </w:rPr>
        <w:t>ينبغي أن تتناول اتفاقيات الخدمة بين وكالات مكافحة العنف الجنساني ووكالات حماية الأطفال ما يلي:</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183C38" w:rsidP="00246B6F">
      <w:pPr>
        <w:pStyle w:val="ListParagraph"/>
        <w:numPr>
          <w:ilvl w:val="0"/>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 xml:space="preserve">المعايير الدنيا لكفاءات الموظفين </w:t>
      </w:r>
      <w:r w:rsidR="00246B6F">
        <w:rPr>
          <w:rFonts w:asciiTheme="minorBidi" w:eastAsia="Calibri" w:hAnsiTheme="minorBidi" w:cstheme="minorBidi" w:hint="cs"/>
          <w:rtl/>
        </w:rPr>
        <w:t xml:space="preserve">وتدريبهم </w:t>
      </w:r>
      <w:r w:rsidRPr="00146A54">
        <w:rPr>
          <w:rFonts w:asciiTheme="minorBidi" w:eastAsia="Calibri" w:hAnsiTheme="minorBidi" w:cstheme="minorBidi"/>
          <w:rtl/>
        </w:rPr>
        <w:t>قبل العمل مع الأطفال الناجين.</w:t>
      </w:r>
    </w:p>
    <w:p w:rsidR="00246B6F" w:rsidRPr="00146A54" w:rsidRDefault="00183C38" w:rsidP="00246B6F">
      <w:pPr>
        <w:pStyle w:val="ListParagraph"/>
        <w:numPr>
          <w:ilvl w:val="0"/>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المبادئ التوجيهية للعمل مع الأطفال الناجين.</w:t>
      </w:r>
    </w:p>
    <w:p w:rsidR="00246B6F" w:rsidRPr="00146A54" w:rsidRDefault="00183C38" w:rsidP="00246B6F">
      <w:pPr>
        <w:pStyle w:val="ListParagraph"/>
        <w:numPr>
          <w:ilvl w:val="0"/>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lastRenderedPageBreak/>
        <w:t xml:space="preserve">الأدوار المنوطة بكل منها في إدارة حالة الطفل المعتدى عليه جنسيًا. ويشمل ذلك إيجاز الظروف التي </w:t>
      </w:r>
      <w:r w:rsidR="00246B6F">
        <w:rPr>
          <w:rFonts w:asciiTheme="minorBidi" w:eastAsia="Calibri" w:hAnsiTheme="minorBidi" w:cstheme="minorBidi" w:hint="cs"/>
          <w:rtl/>
        </w:rPr>
        <w:t>تقتضي</w:t>
      </w:r>
      <w:r w:rsidRPr="00146A54">
        <w:rPr>
          <w:rFonts w:asciiTheme="minorBidi" w:eastAsia="Calibri" w:hAnsiTheme="minorBidi" w:cstheme="minorBidi"/>
          <w:rtl/>
        </w:rPr>
        <w:t>: متى وكيف ينبغي إنشاء التقارير الإلزامية، ومتى ينبغي تدشين التقييمات</w:t>
      </w:r>
      <w:r w:rsidR="00246B6F">
        <w:rPr>
          <w:rFonts w:asciiTheme="minorBidi" w:eastAsia="Calibri" w:hAnsiTheme="minorBidi" w:cstheme="minorBidi"/>
          <w:rtl/>
        </w:rPr>
        <w:t>/</w:t>
      </w:r>
      <w:r w:rsidRPr="00146A54">
        <w:rPr>
          <w:rFonts w:asciiTheme="minorBidi" w:eastAsia="Calibri" w:hAnsiTheme="minorBidi" w:cstheme="minorBidi"/>
          <w:rtl/>
        </w:rPr>
        <w:t>المقابلات، ومع من ينبغي مشاركة تقارير</w:t>
      </w:r>
      <w:r w:rsidR="00246B6F">
        <w:rPr>
          <w:rFonts w:asciiTheme="minorBidi" w:eastAsia="Calibri" w:hAnsiTheme="minorBidi" w:cstheme="minorBidi"/>
          <w:rtl/>
        </w:rPr>
        <w:t>/</w:t>
      </w:r>
      <w:r w:rsidRPr="00146A54">
        <w:rPr>
          <w:rFonts w:asciiTheme="minorBidi" w:eastAsia="Calibri" w:hAnsiTheme="minorBidi" w:cstheme="minorBidi"/>
          <w:rtl/>
        </w:rPr>
        <w:t>تقييمات الحالة الكتابية (دائمًا حسب موافقة الطفل الناجي و/أو مقدم الرعاية).</w:t>
      </w:r>
    </w:p>
    <w:p w:rsidR="00246B6F" w:rsidRPr="00146A54" w:rsidRDefault="00183C38" w:rsidP="00246B6F">
      <w:pPr>
        <w:pStyle w:val="ListParagraph"/>
        <w:numPr>
          <w:ilvl w:val="0"/>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إن أمكن، ينبغي تعيين وكالة (قطاع) واحدة كوكالة رئيسية لإدارة الحال</w:t>
      </w:r>
      <w:r w:rsidR="00246B6F">
        <w:rPr>
          <w:rFonts w:asciiTheme="minorBidi" w:eastAsia="Calibri" w:hAnsiTheme="minorBidi" w:cstheme="minorBidi" w:hint="cs"/>
          <w:rtl/>
        </w:rPr>
        <w:t>ات</w:t>
      </w:r>
      <w:r w:rsidRPr="00146A54">
        <w:rPr>
          <w:rFonts w:asciiTheme="minorBidi" w:eastAsia="Calibri" w:hAnsiTheme="minorBidi" w:cstheme="minorBidi"/>
          <w:rtl/>
        </w:rPr>
        <w:t xml:space="preserve"> والتي تستجيب لحالات الاعتداء الجنسي على الأطفال. تقوم هذه الوكالة بتوضيح المسؤولية المحددة عن الإجراءات الرئيسية التي يتم اتخاذها في الاستجابة للحالة. </w:t>
      </w:r>
    </w:p>
    <w:p w:rsidR="00246B6F" w:rsidRPr="00146A54" w:rsidRDefault="00246B6F" w:rsidP="00246B6F">
      <w:pPr>
        <w:pStyle w:val="ListParagraph"/>
        <w:autoSpaceDE w:val="0"/>
        <w:autoSpaceDN w:val="0"/>
        <w:adjustRightInd w:val="0"/>
        <w:ind w:left="360"/>
        <w:rPr>
          <w:rFonts w:asciiTheme="minorBidi" w:eastAsia="Calibri" w:hAnsiTheme="minorBidi" w:cstheme="minorBidi"/>
          <w:rtl/>
        </w:rPr>
      </w:pPr>
    </w:p>
    <w:p w:rsidR="00246B6F" w:rsidRPr="00146A54" w:rsidRDefault="00183C38" w:rsidP="00246B6F">
      <w:pPr>
        <w:autoSpaceDE w:val="0"/>
        <w:autoSpaceDN w:val="0"/>
        <w:adjustRightInd w:val="0"/>
        <w:contextualSpacing/>
        <w:rPr>
          <w:rFonts w:asciiTheme="minorBidi" w:eastAsia="Calibri" w:hAnsiTheme="minorBidi" w:cstheme="minorBidi"/>
          <w:rtl/>
        </w:rPr>
      </w:pPr>
      <w:r w:rsidRPr="00146A54">
        <w:rPr>
          <w:rFonts w:asciiTheme="minorBidi" w:eastAsia="Calibri" w:hAnsiTheme="minorBidi" w:cstheme="minorBidi"/>
          <w:rtl/>
        </w:rPr>
        <w:t>على سبيل المثال:</w:t>
      </w:r>
    </w:p>
    <w:p w:rsidR="00246B6F" w:rsidRPr="00146A54" w:rsidRDefault="00183C38" w:rsidP="00246B6F">
      <w:pPr>
        <w:pStyle w:val="ListParagraph"/>
        <w:numPr>
          <w:ilvl w:val="1"/>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إلى من تتم إحالة الطفل/الأسرة أولاً للحصول على الخدمات الشاملة لإدارة الحالة</w:t>
      </w:r>
      <w:r w:rsidR="00246B6F">
        <w:rPr>
          <w:rFonts w:asciiTheme="minorBidi" w:eastAsia="Calibri" w:hAnsiTheme="minorBidi" w:cstheme="minorBidi"/>
          <w:rtl/>
        </w:rPr>
        <w:t>؛</w:t>
      </w:r>
    </w:p>
    <w:p w:rsidR="00246B6F" w:rsidRPr="00146A54" w:rsidRDefault="00183C38" w:rsidP="00246B6F">
      <w:pPr>
        <w:pStyle w:val="ListParagraph"/>
        <w:numPr>
          <w:ilvl w:val="1"/>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أي وكالة ستكون مسؤولة عن إجراء مقابلة الإدخال الأولية وتقييم الاحتياجات، والتي ستوجه الإجراءات المستقبلية المتعلقة بالحالة</w:t>
      </w:r>
      <w:r w:rsidR="00246B6F">
        <w:rPr>
          <w:rFonts w:asciiTheme="minorBidi" w:eastAsia="Calibri" w:hAnsiTheme="minorBidi" w:cstheme="minorBidi"/>
          <w:rtl/>
        </w:rPr>
        <w:t>؛</w:t>
      </w:r>
    </w:p>
    <w:p w:rsidR="00246B6F" w:rsidRPr="00146A54" w:rsidRDefault="00183C38" w:rsidP="00246B6F">
      <w:pPr>
        <w:pStyle w:val="ListParagraph"/>
        <w:numPr>
          <w:ilvl w:val="1"/>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أي وكالة ستكون مسؤولة عن الإبلاغ بشأن الاعتداء إلى السلطات المختصة (إذا لزم الأمر)؛ و</w:t>
      </w:r>
    </w:p>
    <w:p w:rsidR="00246B6F" w:rsidRPr="00146A54" w:rsidRDefault="00183C38" w:rsidP="00246B6F">
      <w:pPr>
        <w:pStyle w:val="ListParagraph"/>
        <w:numPr>
          <w:ilvl w:val="1"/>
          <w:numId w:val="7"/>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أي وكالة ستُمنح صلاحية "الإدارة والإشراف" على الحالة وفقًا لاحتياجات الطفل الناجي ونظام الدعم الخاص به.</w:t>
      </w: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671CD2" w:rsidRPr="00146A54" w:rsidRDefault="00A47DA5" w:rsidP="00A47DA5">
      <w:pPr>
        <w:autoSpaceDE w:val="0"/>
        <w:autoSpaceDN w:val="0"/>
        <w:adjustRightInd w:val="0"/>
        <w:contextualSpacing/>
        <w:rPr>
          <w:rFonts w:asciiTheme="minorBidi" w:eastAsia="Calibri" w:hAnsiTheme="minorBidi" w:cstheme="minorBidi"/>
          <w:u w:val="single"/>
          <w:rtl/>
        </w:rPr>
      </w:pPr>
      <w:r>
        <w:rPr>
          <w:rFonts w:asciiTheme="minorBidi" w:eastAsia="Calibri" w:hAnsiTheme="minorBidi" w:cstheme="minorBidi" w:hint="cs"/>
          <w:u w:val="single"/>
          <w:rtl/>
        </w:rPr>
        <w:t xml:space="preserve">في حالة عدم وجود </w:t>
      </w:r>
      <w:r w:rsidR="00183C38" w:rsidRPr="00146A54">
        <w:rPr>
          <w:rFonts w:asciiTheme="minorBidi" w:eastAsia="Calibri" w:hAnsiTheme="minorBidi" w:cstheme="minorBidi"/>
          <w:u w:val="single"/>
          <w:rtl/>
        </w:rPr>
        <w:t>اتفاقيات خدمة بين وكالات إدارة الحالات ومقدمي خدمات الإحال</w:t>
      </w:r>
      <w:r>
        <w:rPr>
          <w:rFonts w:asciiTheme="minorBidi" w:eastAsia="Calibri" w:hAnsiTheme="minorBidi" w:cstheme="minorBidi" w:hint="cs"/>
          <w:u w:val="single"/>
          <w:rtl/>
        </w:rPr>
        <w:t>ة</w:t>
      </w:r>
      <w:r w:rsidR="00183C38" w:rsidRPr="00146A54">
        <w:rPr>
          <w:rFonts w:asciiTheme="minorBidi" w:eastAsia="Calibri" w:hAnsiTheme="minorBidi" w:cstheme="minorBidi"/>
          <w:u w:val="single"/>
          <w:rtl/>
        </w:rPr>
        <w:t xml:space="preserve">، يمكن للمشاكل التالية أن تحدث: </w:t>
      </w:r>
    </w:p>
    <w:p w:rsidR="00671CD2" w:rsidRPr="00146A54" w:rsidRDefault="00183C38" w:rsidP="00A47DA5">
      <w:pPr>
        <w:pStyle w:val="ListParagraph"/>
        <w:numPr>
          <w:ilvl w:val="0"/>
          <w:numId w:val="3"/>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انتهاك السرية: تُطالب وكالات إدارة الحالات بمشاركة معلومات أكثر م</w:t>
      </w:r>
      <w:r w:rsidR="00A47DA5">
        <w:rPr>
          <w:rFonts w:asciiTheme="minorBidi" w:eastAsia="Calibri" w:hAnsiTheme="minorBidi" w:cstheme="minorBidi" w:hint="cs"/>
          <w:rtl/>
        </w:rPr>
        <w:t>ما</w:t>
      </w:r>
      <w:r w:rsidRPr="00146A54">
        <w:rPr>
          <w:rFonts w:asciiTheme="minorBidi" w:eastAsia="Calibri" w:hAnsiTheme="minorBidi" w:cstheme="minorBidi"/>
          <w:rtl/>
        </w:rPr>
        <w:t xml:space="preserve"> </w:t>
      </w:r>
      <w:r w:rsidR="00A47DA5">
        <w:rPr>
          <w:rFonts w:asciiTheme="minorBidi" w:eastAsia="Calibri" w:hAnsiTheme="minorBidi" w:cstheme="minorBidi" w:hint="cs"/>
          <w:rtl/>
        </w:rPr>
        <w:t>"يلزم معرفته" بالنسبة ل</w:t>
      </w:r>
      <w:r w:rsidRPr="00146A54">
        <w:rPr>
          <w:rFonts w:asciiTheme="minorBidi" w:eastAsia="Calibri" w:hAnsiTheme="minorBidi" w:cstheme="minorBidi"/>
          <w:rtl/>
        </w:rPr>
        <w:t xml:space="preserve">مقدمي خدمات الإحالة </w:t>
      </w:r>
    </w:p>
    <w:p w:rsidR="00671CD2" w:rsidRPr="00146A54" w:rsidRDefault="00183C38" w:rsidP="00246B6F">
      <w:pPr>
        <w:pStyle w:val="ListParagraph"/>
        <w:numPr>
          <w:ilvl w:val="0"/>
          <w:numId w:val="3"/>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تأخير أو عدم توفير الخدمة: مثال، نظرًا للحاجة إلى التفاوض بشأن شروط تقديم الخدمة في كل مرة، أو فقدان الوكالات للفرص السانحة لإيصال الخدمة إلى العملاء</w:t>
      </w:r>
    </w:p>
    <w:p w:rsidR="00671CD2" w:rsidRPr="00146A54" w:rsidRDefault="00183C38" w:rsidP="00246B6F">
      <w:pPr>
        <w:pStyle w:val="ListParagraph"/>
        <w:numPr>
          <w:ilvl w:val="0"/>
          <w:numId w:val="3"/>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 xml:space="preserve">احتمال التسبب في أضرار: مثال، من خلال مقدمي الخدمة غير المدربين الذين يطالبون بالتحقق من طبيعة الضعف لدى الطفل والأسرة </w:t>
      </w:r>
    </w:p>
    <w:p w:rsidR="00671CD2" w:rsidRPr="00146A54" w:rsidRDefault="00671CD2" w:rsidP="00246B6F">
      <w:pPr>
        <w:autoSpaceDE w:val="0"/>
        <w:autoSpaceDN w:val="0"/>
        <w:adjustRightInd w:val="0"/>
        <w:contextualSpacing/>
        <w:rPr>
          <w:rFonts w:asciiTheme="minorBidi" w:eastAsia="Calibri" w:hAnsiTheme="minorBidi" w:cstheme="minorBidi"/>
          <w:rtl/>
        </w:rPr>
      </w:pPr>
    </w:p>
    <w:p w:rsidR="00246B6F" w:rsidRPr="00146A54" w:rsidRDefault="00246B6F" w:rsidP="00246B6F">
      <w:pPr>
        <w:autoSpaceDE w:val="0"/>
        <w:autoSpaceDN w:val="0"/>
        <w:adjustRightInd w:val="0"/>
        <w:contextualSpacing/>
        <w:rPr>
          <w:rFonts w:asciiTheme="minorBidi" w:eastAsia="Calibri" w:hAnsiTheme="minorBidi" w:cstheme="minorBidi"/>
          <w:rtl/>
        </w:rPr>
      </w:pPr>
    </w:p>
    <w:p w:rsidR="00671CD2" w:rsidRPr="00146A54" w:rsidRDefault="00183C38" w:rsidP="00246B6F">
      <w:pPr>
        <w:autoSpaceDE w:val="0"/>
        <w:autoSpaceDN w:val="0"/>
        <w:adjustRightInd w:val="0"/>
        <w:contextualSpacing/>
        <w:rPr>
          <w:rFonts w:asciiTheme="minorBidi" w:eastAsia="Calibri" w:hAnsiTheme="minorBidi" w:cstheme="minorBidi"/>
          <w:rtl/>
        </w:rPr>
      </w:pPr>
      <w:r w:rsidRPr="00146A54">
        <w:rPr>
          <w:rFonts w:asciiTheme="minorBidi" w:eastAsia="Calibri" w:hAnsiTheme="minorBidi" w:cstheme="minorBidi"/>
          <w:rtl/>
        </w:rPr>
        <w:t>ومن ثم، فإنه يوصى بإبرام اتفاقيات تنسيق مستوى الخدمة بغية مضاعفة المساهمات الإيجابية لكلا الوكالتين لاستعادة السلامة والرفاه.</w:t>
      </w:r>
    </w:p>
    <w:p w:rsidR="00671CD2" w:rsidRPr="00146A54" w:rsidRDefault="00671CD2" w:rsidP="00246B6F">
      <w:pPr>
        <w:contextualSpacing/>
        <w:rPr>
          <w:rFonts w:asciiTheme="minorBidi" w:eastAsia="Calibri" w:hAnsiTheme="minorBidi" w:cstheme="minorBidi"/>
          <w:rtl/>
        </w:rPr>
      </w:pPr>
    </w:p>
    <w:p w:rsidR="00246B6F" w:rsidRPr="00146A54" w:rsidRDefault="00183C38" w:rsidP="00246B6F">
      <w:pPr>
        <w:autoSpaceDE w:val="0"/>
        <w:autoSpaceDN w:val="0"/>
        <w:adjustRightInd w:val="0"/>
        <w:contextualSpacing/>
        <w:rPr>
          <w:rFonts w:asciiTheme="minorBidi" w:eastAsia="Calibri" w:hAnsiTheme="minorBidi" w:cstheme="minorBidi"/>
          <w:bCs/>
          <w:rtl/>
        </w:rPr>
      </w:pPr>
      <w:r w:rsidRPr="00146A54">
        <w:rPr>
          <w:rFonts w:asciiTheme="minorBidi" w:eastAsia="Calibri" w:hAnsiTheme="minorBidi" w:cstheme="minorBidi"/>
          <w:bCs/>
          <w:rtl/>
        </w:rPr>
        <w:t>يجب أن تتناول اتفاقيات الخدمة بين وكالات إدارة الحالات ومقدمي خدمات الإحالة ما يلي:</w:t>
      </w:r>
    </w:p>
    <w:p w:rsidR="00246B6F" w:rsidRPr="00146A54" w:rsidRDefault="00246B6F" w:rsidP="00246B6F">
      <w:pPr>
        <w:autoSpaceDE w:val="0"/>
        <w:autoSpaceDN w:val="0"/>
        <w:adjustRightInd w:val="0"/>
        <w:contextualSpacing/>
        <w:rPr>
          <w:rFonts w:asciiTheme="minorBidi" w:eastAsia="Calibri" w:hAnsiTheme="minorBidi" w:cstheme="minorBidi"/>
          <w:b/>
          <w:rtl/>
        </w:rPr>
      </w:pPr>
    </w:p>
    <w:p w:rsidR="00246B6F" w:rsidRPr="00146A54" w:rsidRDefault="00183C38" w:rsidP="00246B6F">
      <w:pPr>
        <w:pStyle w:val="ListParagraph"/>
        <w:numPr>
          <w:ilvl w:val="0"/>
          <w:numId w:val="8"/>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 xml:space="preserve">أي الخدمات يمكن تقديمها </w:t>
      </w:r>
      <w:r w:rsidR="00A47DA5">
        <w:rPr>
          <w:rFonts w:asciiTheme="minorBidi" w:eastAsia="Calibri" w:hAnsiTheme="minorBidi" w:cstheme="minorBidi" w:hint="cs"/>
          <w:rtl/>
        </w:rPr>
        <w:t>و</w:t>
      </w:r>
      <w:r w:rsidRPr="00146A54">
        <w:rPr>
          <w:rFonts w:asciiTheme="minorBidi" w:eastAsia="Calibri" w:hAnsiTheme="minorBidi" w:cstheme="minorBidi"/>
          <w:rtl/>
        </w:rPr>
        <w:t>في أي إطار زمني ولأي الأشخاص</w:t>
      </w:r>
      <w:r w:rsidR="00A47DA5">
        <w:rPr>
          <w:rFonts w:asciiTheme="minorBidi" w:eastAsia="Calibri" w:hAnsiTheme="minorBidi" w:cstheme="minorBidi" w:hint="cs"/>
          <w:rtl/>
        </w:rPr>
        <w:t>؛</w:t>
      </w:r>
    </w:p>
    <w:p w:rsidR="00246B6F" w:rsidRPr="00146A54" w:rsidRDefault="00183C38" w:rsidP="00A47DA5">
      <w:pPr>
        <w:pStyle w:val="ListParagraph"/>
        <w:numPr>
          <w:ilvl w:val="0"/>
          <w:numId w:val="8"/>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كيف ومتى ينبغي طلب الخدمات</w:t>
      </w:r>
      <w:r w:rsidR="00A47DA5">
        <w:rPr>
          <w:rFonts w:asciiTheme="minorBidi" w:eastAsia="Calibri" w:hAnsiTheme="minorBidi" w:cstheme="minorBidi" w:hint="cs"/>
          <w:rtl/>
        </w:rPr>
        <w:t>؛</w:t>
      </w:r>
    </w:p>
    <w:p w:rsidR="00246B6F" w:rsidRPr="00146A54" w:rsidRDefault="00183C38" w:rsidP="00246B6F">
      <w:pPr>
        <w:pStyle w:val="ListParagraph"/>
        <w:numPr>
          <w:ilvl w:val="0"/>
          <w:numId w:val="8"/>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أن المعلومات المتعلقة بوضع الطفل والأسرة لن يتم طلبها بواسطة مقدم خدمة الإحالة</w:t>
      </w:r>
      <w:r w:rsidR="00A47DA5">
        <w:rPr>
          <w:rFonts w:asciiTheme="minorBidi" w:eastAsia="Calibri" w:hAnsiTheme="minorBidi" w:cstheme="minorBidi" w:hint="cs"/>
          <w:rtl/>
        </w:rPr>
        <w:t>؛</w:t>
      </w:r>
    </w:p>
    <w:p w:rsidR="00246B6F" w:rsidRPr="00146A54" w:rsidRDefault="00183C38" w:rsidP="00246B6F">
      <w:pPr>
        <w:pStyle w:val="ListParagraph"/>
        <w:numPr>
          <w:ilvl w:val="0"/>
          <w:numId w:val="8"/>
        </w:numPr>
        <w:autoSpaceDE w:val="0"/>
        <w:autoSpaceDN w:val="0"/>
        <w:adjustRightInd w:val="0"/>
        <w:rPr>
          <w:rFonts w:asciiTheme="minorBidi" w:eastAsia="Calibri" w:hAnsiTheme="minorBidi" w:cstheme="minorBidi"/>
          <w:rtl/>
        </w:rPr>
      </w:pPr>
      <w:r w:rsidRPr="00146A54">
        <w:rPr>
          <w:rFonts w:asciiTheme="minorBidi" w:eastAsia="Calibri" w:hAnsiTheme="minorBidi" w:cstheme="minorBidi"/>
          <w:rtl/>
        </w:rPr>
        <w:t xml:space="preserve">أنه لن يتم التعريف بالحالات المحالة من وكالة إدارة الحالات في القوائم الشاملة للإحالات أو إعلانها للمجتمع، والذي قد يمثل انتهاكًا للسرية. </w:t>
      </w:r>
    </w:p>
    <w:p w:rsidR="00246B6F" w:rsidRPr="00146A54" w:rsidRDefault="00246B6F" w:rsidP="00246B6F">
      <w:pPr>
        <w:contextualSpacing/>
        <w:rPr>
          <w:rFonts w:asciiTheme="minorBidi" w:eastAsia="Calibri" w:hAnsiTheme="minorBidi" w:cstheme="minorBidi"/>
          <w:rtl/>
        </w:rPr>
      </w:pPr>
    </w:p>
    <w:p w:rsidR="00246B6F" w:rsidRPr="00146A54" w:rsidRDefault="00246B6F" w:rsidP="00246B6F">
      <w:pPr>
        <w:contextualSpacing/>
        <w:rPr>
          <w:rFonts w:asciiTheme="minorBidi" w:eastAsia="Calibri" w:hAnsiTheme="minorBidi" w:cstheme="minorBidi"/>
          <w:rtl/>
        </w:rPr>
      </w:pPr>
    </w:p>
    <w:p w:rsidR="00246B6F" w:rsidRPr="00146A54" w:rsidRDefault="00183C38" w:rsidP="00246B6F">
      <w:pPr>
        <w:contextualSpacing/>
        <w:rPr>
          <w:rFonts w:asciiTheme="minorBidi" w:eastAsia="Calibri" w:hAnsiTheme="minorBidi" w:cstheme="minorBidi"/>
          <w:u w:val="single"/>
          <w:rtl/>
        </w:rPr>
      </w:pPr>
      <w:r w:rsidRPr="00146A54">
        <w:rPr>
          <w:rFonts w:asciiTheme="minorBidi" w:eastAsia="Calibri" w:hAnsiTheme="minorBidi" w:cstheme="minorBidi"/>
          <w:u w:val="single"/>
          <w:rtl/>
        </w:rPr>
        <w:t>مراقبة اتفاقيات</w:t>
      </w:r>
      <w:r w:rsidR="00246B6F">
        <w:rPr>
          <w:rFonts w:asciiTheme="minorBidi" w:eastAsia="Calibri" w:hAnsiTheme="minorBidi" w:cstheme="minorBidi"/>
          <w:u w:val="single"/>
          <w:rtl/>
        </w:rPr>
        <w:t>/</w:t>
      </w:r>
      <w:r w:rsidRPr="00146A54">
        <w:rPr>
          <w:rFonts w:asciiTheme="minorBidi" w:eastAsia="Calibri" w:hAnsiTheme="minorBidi" w:cstheme="minorBidi"/>
          <w:u w:val="single"/>
          <w:rtl/>
        </w:rPr>
        <w:t xml:space="preserve">عقود الخدمة </w:t>
      </w:r>
    </w:p>
    <w:p w:rsidR="00246B6F" w:rsidRPr="00146A54" w:rsidRDefault="00246B6F" w:rsidP="00246B6F">
      <w:pPr>
        <w:contextualSpacing/>
        <w:rPr>
          <w:rFonts w:asciiTheme="minorBidi" w:eastAsia="Calibri" w:hAnsiTheme="minorBidi" w:cstheme="minorBidi"/>
          <w:u w:val="single"/>
          <w:rtl/>
        </w:rPr>
      </w:pPr>
    </w:p>
    <w:p w:rsidR="00671CD2" w:rsidRPr="00146A54" w:rsidRDefault="00183C38" w:rsidP="00246B6F">
      <w:pPr>
        <w:contextualSpacing/>
        <w:rPr>
          <w:rFonts w:asciiTheme="minorBidi" w:hAnsiTheme="minorBidi" w:cstheme="minorBidi"/>
          <w:rtl/>
        </w:rPr>
      </w:pPr>
      <w:r w:rsidRPr="00146A54">
        <w:rPr>
          <w:rFonts w:asciiTheme="minorBidi" w:hAnsiTheme="minorBidi" w:cstheme="minorBidi"/>
          <w:rtl/>
        </w:rPr>
        <w:t>في حال وجود عقود أو اتفاقيات خدمة بين الوكالة خاصتك وبين العديد من مقدمي الخدمات، فإنه يتعين مراقبة هذه الاتفاقيات لضمان الوفاء بالتزامات العقود وتقديم الخدمات في الوقت المناسب وبطريقة مسؤولة.</w:t>
      </w:r>
      <w:r w:rsidRPr="00146A54">
        <w:rPr>
          <w:rStyle w:val="FootnoteReference"/>
          <w:rFonts w:asciiTheme="minorBidi" w:hAnsiTheme="minorBidi" w:cstheme="minorBidi"/>
          <w:rtl/>
        </w:rPr>
        <w:footnoteReference w:id="2"/>
      </w:r>
    </w:p>
    <w:p w:rsidR="00246B6F" w:rsidRPr="00146A54" w:rsidRDefault="00246B6F" w:rsidP="00246B6F">
      <w:pPr>
        <w:autoSpaceDE w:val="0"/>
        <w:autoSpaceDN w:val="0"/>
        <w:adjustRightInd w:val="0"/>
        <w:contextualSpacing/>
        <w:rPr>
          <w:rFonts w:asciiTheme="minorBidi" w:eastAsia="Calibri" w:hAnsiTheme="minorBidi" w:cstheme="minorBidi"/>
          <w:b/>
          <w:rtl/>
        </w:rPr>
      </w:pPr>
    </w:p>
    <w:p w:rsidR="00246B6F" w:rsidRPr="00146A54" w:rsidRDefault="00183C38" w:rsidP="009551A9">
      <w:pPr>
        <w:autoSpaceDE w:val="0"/>
        <w:autoSpaceDN w:val="0"/>
        <w:adjustRightInd w:val="0"/>
        <w:contextualSpacing/>
        <w:rPr>
          <w:rFonts w:asciiTheme="minorBidi" w:eastAsia="Calibri" w:hAnsiTheme="minorBidi" w:cstheme="minorBidi"/>
          <w:rtl/>
        </w:rPr>
      </w:pPr>
      <w:r w:rsidRPr="00146A54">
        <w:rPr>
          <w:rFonts w:asciiTheme="minorBidi" w:eastAsia="Calibri" w:hAnsiTheme="minorBidi" w:cstheme="minorBidi"/>
          <w:rtl/>
        </w:rPr>
        <w:t xml:space="preserve">تهدف هذه الاتفاقيات إلى تيسير الخدمات والتنسيق بالنسبة للأطفال والأسر، وتفادي الوقوع في شرك الرعاية غير المنسقة. وفي البيئات الإنسانية حيث تعمل وكالات حماية الأطفال ومقدمي خدمات مكافحة الاعتداء الجنساني، تقع مسؤولية تطوير اتفاقيات أكثر تفصيلاً على عاتق وكالة التنسيق الرئيسية (مكافحة </w:t>
      </w:r>
      <w:r w:rsidR="009551A9">
        <w:rPr>
          <w:rFonts w:asciiTheme="minorBidi" w:eastAsia="Calibri" w:hAnsiTheme="minorBidi" w:cstheme="minorBidi" w:hint="cs"/>
          <w:rtl/>
        </w:rPr>
        <w:t>الاعتداء</w:t>
      </w:r>
      <w:r w:rsidRPr="00146A54">
        <w:rPr>
          <w:rFonts w:asciiTheme="minorBidi" w:eastAsia="Calibri" w:hAnsiTheme="minorBidi" w:cstheme="minorBidi"/>
          <w:rtl/>
        </w:rPr>
        <w:t xml:space="preserve"> الجنساني، وحماية الأطفال، والصحة).</w:t>
      </w:r>
    </w:p>
    <w:sectPr w:rsidR="00246B6F" w:rsidRPr="00146A54">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B6F" w:rsidRDefault="00246B6F" w:rsidP="00246B6F">
      <w:r>
        <w:rPr>
          <w:rtl/>
        </w:rPr>
        <w:separator/>
      </w:r>
    </w:p>
  </w:endnote>
  <w:endnote w:type="continuationSeparator" w:id="0">
    <w:p w:rsidR="00246B6F" w:rsidRDefault="00246B6F" w:rsidP="00246B6F">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B6F" w:rsidRDefault="00246B6F" w:rsidP="00246B6F">
      <w:r>
        <w:rPr>
          <w:rtl/>
        </w:rPr>
        <w:separator/>
      </w:r>
    </w:p>
  </w:footnote>
  <w:footnote w:type="continuationSeparator" w:id="0">
    <w:p w:rsidR="00246B6F" w:rsidRDefault="00246B6F" w:rsidP="00246B6F">
      <w:r>
        <w:rPr>
          <w:rtl/>
        </w:rPr>
        <w:continuationSeparator/>
      </w:r>
    </w:p>
  </w:footnote>
  <w:footnote w:id="1">
    <w:p w:rsidR="00246B6F" w:rsidRPr="00146A54" w:rsidRDefault="00246B6F" w:rsidP="00246B6F">
      <w:pPr>
        <w:autoSpaceDE w:val="0"/>
        <w:autoSpaceDN w:val="0"/>
        <w:adjustRightInd w:val="0"/>
        <w:spacing w:line="288" w:lineRule="auto"/>
        <w:rPr>
          <w:rFonts w:asciiTheme="minorBidi" w:hAnsiTheme="minorBidi" w:cstheme="minorBidi"/>
          <w:sz w:val="20"/>
          <w:szCs w:val="20"/>
        </w:rPr>
      </w:pPr>
      <w:r w:rsidRPr="00146A54">
        <w:rPr>
          <w:rStyle w:val="FootnoteReference"/>
          <w:rFonts w:asciiTheme="minorBidi" w:hAnsiTheme="minorBidi" w:cstheme="minorBidi"/>
          <w:sz w:val="20"/>
          <w:szCs w:val="20"/>
        </w:rPr>
        <w:footnoteRef/>
      </w:r>
      <w:r>
        <w:rPr>
          <w:rFonts w:asciiTheme="minorBidi" w:hAnsiTheme="minorBidi" w:cstheme="minorBidi" w:hint="cs"/>
          <w:sz w:val="20"/>
          <w:szCs w:val="20"/>
          <w:rtl/>
        </w:rPr>
        <w:t xml:space="preserve">المحتوى </w:t>
      </w:r>
      <w:r w:rsidRPr="00146A54">
        <w:rPr>
          <w:rFonts w:asciiTheme="minorBidi" w:hAnsiTheme="minorBidi" w:cstheme="minorBidi"/>
          <w:sz w:val="20"/>
          <w:szCs w:val="20"/>
          <w:rtl/>
        </w:rPr>
        <w:t xml:space="preserve">قتبس من: </w:t>
      </w:r>
      <w:r w:rsidRPr="00146A54">
        <w:rPr>
          <w:rFonts w:asciiTheme="minorBidi" w:hAnsiTheme="minorBidi" w:cstheme="minorBidi"/>
          <w:bCs/>
          <w:sz w:val="20"/>
          <w:szCs w:val="20"/>
        </w:rPr>
        <w:t xml:space="preserve">Caring for Child Survivors of Sexual Abuse: </w:t>
      </w:r>
      <w:r w:rsidRPr="00146A54">
        <w:rPr>
          <w:rFonts w:asciiTheme="minorBidi" w:hAnsiTheme="minorBidi" w:cstheme="minorBidi"/>
          <w:sz w:val="20"/>
          <w:szCs w:val="20"/>
        </w:rPr>
        <w:t xml:space="preserve">Guidelines for health and psychosocial service providers in humanitarian settings (2012), International Rescue Committee and UNICEF: </w:t>
      </w:r>
      <w:hyperlink r:id="rId1" w:history="1">
        <w:r w:rsidRPr="00146A54">
          <w:rPr>
            <w:rStyle w:val="Hyperlink"/>
            <w:rFonts w:asciiTheme="minorBidi" w:hAnsiTheme="minorBidi" w:cstheme="minorBidi"/>
            <w:sz w:val="20"/>
            <w:szCs w:val="20"/>
          </w:rPr>
          <w:t>http://www.unicef.org/pacificislands/IRC_CCSGuide_FullGuide_lowres.pdf</w:t>
        </w:r>
      </w:hyperlink>
      <w:r w:rsidRPr="00146A54">
        <w:rPr>
          <w:rFonts w:asciiTheme="minorBidi" w:hAnsiTheme="minorBidi" w:cstheme="minorBidi"/>
          <w:sz w:val="20"/>
          <w:szCs w:val="20"/>
        </w:rPr>
        <w:t xml:space="preserve"> </w:t>
      </w:r>
      <w:r>
        <w:rPr>
          <w:rFonts w:asciiTheme="minorBidi" w:hAnsiTheme="minorBidi" w:cstheme="minorBidi" w:hint="cs"/>
          <w:sz w:val="20"/>
          <w:szCs w:val="20"/>
          <w:rtl/>
        </w:rPr>
        <w:t xml:space="preserve"> صفحة</w:t>
      </w:r>
      <w:r w:rsidRPr="00146A54">
        <w:rPr>
          <w:rFonts w:asciiTheme="minorBidi" w:hAnsiTheme="minorBidi" w:cstheme="minorBidi"/>
          <w:sz w:val="20"/>
          <w:szCs w:val="20"/>
        </w:rPr>
        <w:t xml:space="preserve"> 233</w:t>
      </w:r>
      <w:r>
        <w:rPr>
          <w:rFonts w:asciiTheme="minorBidi" w:hAnsiTheme="minorBidi" w:cstheme="minorBidi" w:hint="cs"/>
          <w:sz w:val="20"/>
          <w:szCs w:val="20"/>
          <w:rtl/>
        </w:rPr>
        <w:t>-234</w:t>
      </w:r>
      <w:r w:rsidRPr="00146A54">
        <w:rPr>
          <w:rFonts w:asciiTheme="minorBidi" w:hAnsiTheme="minorBidi" w:cstheme="minorBidi"/>
          <w:sz w:val="20"/>
          <w:szCs w:val="20"/>
        </w:rPr>
        <w:t xml:space="preserve"> </w:t>
      </w:r>
      <w:r>
        <w:rPr>
          <w:rFonts w:asciiTheme="minorBidi" w:hAnsiTheme="minorBidi" w:cstheme="minorBidi" w:hint="cs"/>
          <w:sz w:val="20"/>
          <w:szCs w:val="20"/>
          <w:rtl/>
        </w:rPr>
        <w:t xml:space="preserve"> باستثناء المعلومات بشأن اتفاقيات الخدمة بين وكالات إدارة الحالات والجهات الفاعلة في الإحالة، والتي يجري استخدامها من قبل وكالات حماية الأطفال في الميدان أثناء دراسة تحديد النطاق لدليل التدريب هذا</w:t>
      </w:r>
      <w:r w:rsidRPr="00146A54">
        <w:rPr>
          <w:rFonts w:asciiTheme="minorBidi" w:hAnsiTheme="minorBidi" w:cstheme="minorBidi"/>
          <w:sz w:val="20"/>
          <w:szCs w:val="20"/>
          <w:rtl/>
        </w:rPr>
        <w:t xml:space="preserve">. </w:t>
      </w:r>
    </w:p>
  </w:footnote>
  <w:footnote w:id="2">
    <w:p w:rsidR="00246B6F" w:rsidRPr="00146A54" w:rsidRDefault="00246B6F" w:rsidP="009551A9">
      <w:pPr>
        <w:spacing w:line="276" w:lineRule="auto"/>
        <w:rPr>
          <w:rFonts w:asciiTheme="minorBidi" w:hAnsiTheme="minorBidi" w:cstheme="minorBidi"/>
          <w:sz w:val="20"/>
          <w:szCs w:val="20"/>
        </w:rPr>
      </w:pPr>
      <w:r w:rsidRPr="00146A54">
        <w:rPr>
          <w:rStyle w:val="FootnoteReference"/>
          <w:rFonts w:asciiTheme="minorBidi" w:hAnsiTheme="minorBidi" w:cstheme="minorBidi"/>
          <w:sz w:val="20"/>
          <w:szCs w:val="20"/>
        </w:rPr>
        <w:footnoteRef/>
      </w:r>
      <w:r w:rsidRPr="00146A54">
        <w:rPr>
          <w:rFonts w:asciiTheme="minorBidi" w:hAnsiTheme="minorBidi" w:cstheme="minorBidi"/>
          <w:sz w:val="20"/>
          <w:szCs w:val="20"/>
          <w:rtl/>
        </w:rPr>
        <w:t xml:space="preserve"> </w:t>
      </w:r>
      <w:r w:rsidR="009551A9" w:rsidRPr="009551A9">
        <w:rPr>
          <w:rFonts w:asciiTheme="minorBidi" w:hAnsiTheme="minorBidi" w:cs="Arial"/>
          <w:sz w:val="20"/>
          <w:szCs w:val="20"/>
          <w:rtl/>
        </w:rPr>
        <w:t>المبادئ التوجيهية المشتركة بين الوكالات لإدارة الحالات وحماية الطفل - دور إدارة الحالات في حماية الأطفال: دليل لمديري السياسات والبرامج وأخصائيي الحالات (2014) الفريق العامل المعني بإدارة الحالة، القسم 3</w:t>
      </w:r>
      <w:bookmarkStart w:id="0" w:name="_GoBack"/>
      <w:bookmarkEnd w:id="0"/>
      <w:r w:rsidRPr="00146A54">
        <w:rPr>
          <w:rFonts w:asciiTheme="minorBidi" w:hAnsiTheme="minorBidi" w:cstheme="minorBidi"/>
          <w:sz w:val="20"/>
          <w:szCs w:val="20"/>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B6F" w:rsidRPr="00146A54" w:rsidRDefault="00246B6F" w:rsidP="00246B6F">
    <w:pPr>
      <w:pStyle w:val="Header"/>
      <w:tabs>
        <w:tab w:val="clear" w:pos="4513"/>
      </w:tabs>
      <w:rPr>
        <w:rFonts w:asciiTheme="minorBidi" w:hAnsiTheme="minorBidi" w:cstheme="minorBidi"/>
        <w:color w:val="808080"/>
        <w:sz w:val="22"/>
        <w:szCs w:val="22"/>
        <w:rtl/>
      </w:rPr>
    </w:pPr>
    <w:r w:rsidRPr="00146A54">
      <w:rPr>
        <w:rFonts w:asciiTheme="minorBidi" w:hAnsiTheme="minorBidi" w:cstheme="minorBidi"/>
        <w:color w:val="808080"/>
        <w:sz w:val="22"/>
        <w:szCs w:val="22"/>
        <w:rtl/>
      </w:rPr>
      <w:t xml:space="preserve">دليل التدريب على إدارة الحالات </w:t>
    </w:r>
    <w:r w:rsidRPr="00146A54">
      <w:rPr>
        <w:rFonts w:asciiTheme="minorBidi" w:hAnsiTheme="minorBidi" w:cstheme="minorBidi"/>
        <w:color w:val="FF8000"/>
        <w:sz w:val="22"/>
        <w:szCs w:val="22"/>
        <w:rtl/>
      </w:rPr>
      <w:tab/>
    </w:r>
    <w:r w:rsidRPr="00146A54">
      <w:rPr>
        <w:rFonts w:asciiTheme="minorBidi" w:hAnsiTheme="minorBidi" w:cstheme="minorBidi"/>
        <w:color w:val="808080"/>
        <w:sz w:val="22"/>
        <w:szCs w:val="22"/>
        <w:rtl/>
      </w:rPr>
      <w:t xml:space="preserve">فريق </w:t>
    </w:r>
    <w:r>
      <w:rPr>
        <w:rFonts w:asciiTheme="minorBidi" w:hAnsiTheme="minorBidi" w:cstheme="minorBidi" w:hint="cs"/>
        <w:color w:val="808080"/>
        <w:sz w:val="22"/>
        <w:szCs w:val="22"/>
        <w:rtl/>
      </w:rPr>
      <w:t>ال</w:t>
    </w:r>
    <w:r w:rsidRPr="00146A54">
      <w:rPr>
        <w:rFonts w:asciiTheme="minorBidi" w:hAnsiTheme="minorBidi" w:cstheme="minorBidi"/>
        <w:color w:val="808080"/>
        <w:sz w:val="22"/>
        <w:szCs w:val="22"/>
        <w:rtl/>
      </w:rPr>
      <w:t xml:space="preserve">عمل </w:t>
    </w:r>
    <w:r>
      <w:rPr>
        <w:rFonts w:asciiTheme="minorBidi" w:hAnsiTheme="minorBidi" w:cstheme="minorBidi" w:hint="cs"/>
        <w:color w:val="808080"/>
        <w:sz w:val="22"/>
        <w:szCs w:val="22"/>
        <w:rtl/>
      </w:rPr>
      <w:t>المعني ب</w:t>
    </w:r>
    <w:r w:rsidRPr="00146A54">
      <w:rPr>
        <w:rFonts w:asciiTheme="minorBidi" w:hAnsiTheme="minorBidi" w:cstheme="minorBidi"/>
        <w:color w:val="808080"/>
        <w:sz w:val="22"/>
        <w:szCs w:val="22"/>
        <w:rtl/>
      </w:rPr>
      <w:t>إدارة الحالات</w:t>
    </w:r>
  </w:p>
  <w:p w:rsidR="00246B6F" w:rsidRPr="00146A54" w:rsidRDefault="00246B6F" w:rsidP="00246B6F">
    <w:pPr>
      <w:pStyle w:val="Header"/>
      <w:rPr>
        <w:rFonts w:asciiTheme="minorBidi" w:hAnsiTheme="minorBidi" w:cstheme="minorBidi"/>
        <w:sz w:val="22"/>
        <w:szCs w:val="2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C37"/>
    <w:multiLevelType w:val="hybridMultilevel"/>
    <w:tmpl w:val="E8D84760"/>
    <w:lvl w:ilvl="0" w:tplc="47F0416E">
      <w:start w:val="1"/>
      <w:numFmt w:val="bullet"/>
      <w:lvlText w:val=""/>
      <w:lvlJc w:val="left"/>
      <w:pPr>
        <w:ind w:left="720" w:hanging="360"/>
      </w:pPr>
      <w:rPr>
        <w:rFonts w:ascii="Symbol" w:hAnsi="Symbol" w:hint="default"/>
      </w:rPr>
    </w:lvl>
    <w:lvl w:ilvl="1" w:tplc="A4BC3330" w:tentative="1">
      <w:start w:val="1"/>
      <w:numFmt w:val="bullet"/>
      <w:lvlText w:val="o"/>
      <w:lvlJc w:val="left"/>
      <w:pPr>
        <w:ind w:left="1440" w:hanging="360"/>
      </w:pPr>
      <w:rPr>
        <w:rFonts w:ascii="Courier New" w:hAnsi="Courier New" w:cs="Courier New" w:hint="default"/>
      </w:rPr>
    </w:lvl>
    <w:lvl w:ilvl="2" w:tplc="39C6C334" w:tentative="1">
      <w:start w:val="1"/>
      <w:numFmt w:val="bullet"/>
      <w:lvlText w:val=""/>
      <w:lvlJc w:val="left"/>
      <w:pPr>
        <w:ind w:left="2160" w:hanging="360"/>
      </w:pPr>
      <w:rPr>
        <w:rFonts w:ascii="Wingdings" w:hAnsi="Wingdings" w:hint="default"/>
      </w:rPr>
    </w:lvl>
    <w:lvl w:ilvl="3" w:tplc="275664FA" w:tentative="1">
      <w:start w:val="1"/>
      <w:numFmt w:val="bullet"/>
      <w:lvlText w:val=""/>
      <w:lvlJc w:val="left"/>
      <w:pPr>
        <w:ind w:left="2880" w:hanging="360"/>
      </w:pPr>
      <w:rPr>
        <w:rFonts w:ascii="Symbol" w:hAnsi="Symbol" w:hint="default"/>
      </w:rPr>
    </w:lvl>
    <w:lvl w:ilvl="4" w:tplc="5AB2F392" w:tentative="1">
      <w:start w:val="1"/>
      <w:numFmt w:val="bullet"/>
      <w:lvlText w:val="o"/>
      <w:lvlJc w:val="left"/>
      <w:pPr>
        <w:ind w:left="3600" w:hanging="360"/>
      </w:pPr>
      <w:rPr>
        <w:rFonts w:ascii="Courier New" w:hAnsi="Courier New" w:cs="Courier New" w:hint="default"/>
      </w:rPr>
    </w:lvl>
    <w:lvl w:ilvl="5" w:tplc="C33EB84E" w:tentative="1">
      <w:start w:val="1"/>
      <w:numFmt w:val="bullet"/>
      <w:lvlText w:val=""/>
      <w:lvlJc w:val="left"/>
      <w:pPr>
        <w:ind w:left="4320" w:hanging="360"/>
      </w:pPr>
      <w:rPr>
        <w:rFonts w:ascii="Wingdings" w:hAnsi="Wingdings" w:hint="default"/>
      </w:rPr>
    </w:lvl>
    <w:lvl w:ilvl="6" w:tplc="24B0D9A4" w:tentative="1">
      <w:start w:val="1"/>
      <w:numFmt w:val="bullet"/>
      <w:lvlText w:val=""/>
      <w:lvlJc w:val="left"/>
      <w:pPr>
        <w:ind w:left="5040" w:hanging="360"/>
      </w:pPr>
      <w:rPr>
        <w:rFonts w:ascii="Symbol" w:hAnsi="Symbol" w:hint="default"/>
      </w:rPr>
    </w:lvl>
    <w:lvl w:ilvl="7" w:tplc="2BDCDC2A" w:tentative="1">
      <w:start w:val="1"/>
      <w:numFmt w:val="bullet"/>
      <w:lvlText w:val="o"/>
      <w:lvlJc w:val="left"/>
      <w:pPr>
        <w:ind w:left="5760" w:hanging="360"/>
      </w:pPr>
      <w:rPr>
        <w:rFonts w:ascii="Courier New" w:hAnsi="Courier New" w:cs="Courier New" w:hint="default"/>
      </w:rPr>
    </w:lvl>
    <w:lvl w:ilvl="8" w:tplc="EEAE43A0" w:tentative="1">
      <w:start w:val="1"/>
      <w:numFmt w:val="bullet"/>
      <w:lvlText w:val=""/>
      <w:lvlJc w:val="left"/>
      <w:pPr>
        <w:ind w:left="6480" w:hanging="360"/>
      </w:pPr>
      <w:rPr>
        <w:rFonts w:ascii="Wingdings" w:hAnsi="Wingdings" w:hint="default"/>
      </w:rPr>
    </w:lvl>
  </w:abstractNum>
  <w:abstractNum w:abstractNumId="1">
    <w:nsid w:val="09D56383"/>
    <w:multiLevelType w:val="hybridMultilevel"/>
    <w:tmpl w:val="B2308050"/>
    <w:lvl w:ilvl="0" w:tplc="B8D8D900">
      <w:start w:val="1"/>
      <w:numFmt w:val="bullet"/>
      <w:lvlText w:val=""/>
      <w:lvlJc w:val="left"/>
      <w:pPr>
        <w:ind w:left="360" w:hanging="360"/>
      </w:pPr>
      <w:rPr>
        <w:rFonts w:ascii="Symbol" w:hAnsi="Symbol" w:hint="default"/>
      </w:rPr>
    </w:lvl>
    <w:lvl w:ilvl="1" w:tplc="5DF88228">
      <w:start w:val="1"/>
      <w:numFmt w:val="bullet"/>
      <w:lvlText w:val="o"/>
      <w:lvlJc w:val="left"/>
      <w:pPr>
        <w:ind w:left="1080" w:hanging="360"/>
      </w:pPr>
      <w:rPr>
        <w:rFonts w:ascii="Courier New" w:hAnsi="Courier New" w:cs="Courier New" w:hint="default"/>
      </w:rPr>
    </w:lvl>
    <w:lvl w:ilvl="2" w:tplc="C3588D82">
      <w:start w:val="1"/>
      <w:numFmt w:val="bullet"/>
      <w:lvlText w:val=""/>
      <w:lvlJc w:val="left"/>
      <w:pPr>
        <w:ind w:left="1800" w:hanging="360"/>
      </w:pPr>
      <w:rPr>
        <w:rFonts w:ascii="Wingdings" w:hAnsi="Wingdings" w:hint="default"/>
      </w:rPr>
    </w:lvl>
    <w:lvl w:ilvl="3" w:tplc="20E2DD74">
      <w:start w:val="1"/>
      <w:numFmt w:val="bullet"/>
      <w:lvlText w:val=""/>
      <w:lvlJc w:val="left"/>
      <w:pPr>
        <w:ind w:left="2520" w:hanging="360"/>
      </w:pPr>
      <w:rPr>
        <w:rFonts w:ascii="Symbol" w:hAnsi="Symbol" w:hint="default"/>
      </w:rPr>
    </w:lvl>
    <w:lvl w:ilvl="4" w:tplc="627827CC">
      <w:start w:val="1"/>
      <w:numFmt w:val="bullet"/>
      <w:lvlText w:val="o"/>
      <w:lvlJc w:val="left"/>
      <w:pPr>
        <w:ind w:left="3240" w:hanging="360"/>
      </w:pPr>
      <w:rPr>
        <w:rFonts w:ascii="Courier New" w:hAnsi="Courier New" w:cs="Courier New" w:hint="default"/>
      </w:rPr>
    </w:lvl>
    <w:lvl w:ilvl="5" w:tplc="04A820E6">
      <w:start w:val="1"/>
      <w:numFmt w:val="bullet"/>
      <w:lvlText w:val=""/>
      <w:lvlJc w:val="left"/>
      <w:pPr>
        <w:ind w:left="3960" w:hanging="360"/>
      </w:pPr>
      <w:rPr>
        <w:rFonts w:ascii="Wingdings" w:hAnsi="Wingdings" w:hint="default"/>
      </w:rPr>
    </w:lvl>
    <w:lvl w:ilvl="6" w:tplc="951028FC">
      <w:start w:val="1"/>
      <w:numFmt w:val="bullet"/>
      <w:lvlText w:val=""/>
      <w:lvlJc w:val="left"/>
      <w:pPr>
        <w:ind w:left="4680" w:hanging="360"/>
      </w:pPr>
      <w:rPr>
        <w:rFonts w:ascii="Symbol" w:hAnsi="Symbol" w:hint="default"/>
      </w:rPr>
    </w:lvl>
    <w:lvl w:ilvl="7" w:tplc="ABCA14F8">
      <w:start w:val="1"/>
      <w:numFmt w:val="bullet"/>
      <w:lvlText w:val="o"/>
      <w:lvlJc w:val="left"/>
      <w:pPr>
        <w:ind w:left="5400" w:hanging="360"/>
      </w:pPr>
      <w:rPr>
        <w:rFonts w:ascii="Courier New" w:hAnsi="Courier New" w:cs="Courier New" w:hint="default"/>
      </w:rPr>
    </w:lvl>
    <w:lvl w:ilvl="8" w:tplc="D15A2B38">
      <w:start w:val="1"/>
      <w:numFmt w:val="bullet"/>
      <w:lvlText w:val=""/>
      <w:lvlJc w:val="left"/>
      <w:pPr>
        <w:ind w:left="6120" w:hanging="360"/>
      </w:pPr>
      <w:rPr>
        <w:rFonts w:ascii="Wingdings" w:hAnsi="Wingdings" w:hint="default"/>
      </w:rPr>
    </w:lvl>
  </w:abstractNum>
  <w:abstractNum w:abstractNumId="2">
    <w:nsid w:val="0A133D40"/>
    <w:multiLevelType w:val="hybridMultilevel"/>
    <w:tmpl w:val="2ADA5AF0"/>
    <w:lvl w:ilvl="0" w:tplc="68FACC5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A880B29"/>
    <w:multiLevelType w:val="hybridMultilevel"/>
    <w:tmpl w:val="AC049EEA"/>
    <w:lvl w:ilvl="0" w:tplc="534261D6">
      <w:start w:val="1"/>
      <w:numFmt w:val="bullet"/>
      <w:lvlText w:val=""/>
      <w:lvlJc w:val="left"/>
      <w:pPr>
        <w:ind w:left="360" w:hanging="360"/>
      </w:pPr>
      <w:rPr>
        <w:rFonts w:ascii="Symbol" w:hAnsi="Symbol" w:hint="default"/>
      </w:rPr>
    </w:lvl>
    <w:lvl w:ilvl="1" w:tplc="B8843DC6">
      <w:start w:val="1"/>
      <w:numFmt w:val="bullet"/>
      <w:lvlText w:val="o"/>
      <w:lvlJc w:val="left"/>
      <w:pPr>
        <w:ind w:left="1080" w:hanging="360"/>
      </w:pPr>
      <w:rPr>
        <w:rFonts w:ascii="Courier New" w:hAnsi="Courier New" w:cs="Courier New" w:hint="default"/>
      </w:rPr>
    </w:lvl>
    <w:lvl w:ilvl="2" w:tplc="64E89D2E" w:tentative="1">
      <w:start w:val="1"/>
      <w:numFmt w:val="bullet"/>
      <w:lvlText w:val=""/>
      <w:lvlJc w:val="left"/>
      <w:pPr>
        <w:ind w:left="1800" w:hanging="360"/>
      </w:pPr>
      <w:rPr>
        <w:rFonts w:ascii="Wingdings" w:hAnsi="Wingdings" w:hint="default"/>
      </w:rPr>
    </w:lvl>
    <w:lvl w:ilvl="3" w:tplc="8C88DC7A" w:tentative="1">
      <w:start w:val="1"/>
      <w:numFmt w:val="bullet"/>
      <w:lvlText w:val=""/>
      <w:lvlJc w:val="left"/>
      <w:pPr>
        <w:ind w:left="2520" w:hanging="360"/>
      </w:pPr>
      <w:rPr>
        <w:rFonts w:ascii="Symbol" w:hAnsi="Symbol" w:hint="default"/>
      </w:rPr>
    </w:lvl>
    <w:lvl w:ilvl="4" w:tplc="C1823C16" w:tentative="1">
      <w:start w:val="1"/>
      <w:numFmt w:val="bullet"/>
      <w:lvlText w:val="o"/>
      <w:lvlJc w:val="left"/>
      <w:pPr>
        <w:ind w:left="3240" w:hanging="360"/>
      </w:pPr>
      <w:rPr>
        <w:rFonts w:ascii="Courier New" w:hAnsi="Courier New" w:cs="Courier New" w:hint="default"/>
      </w:rPr>
    </w:lvl>
    <w:lvl w:ilvl="5" w:tplc="68DE6948" w:tentative="1">
      <w:start w:val="1"/>
      <w:numFmt w:val="bullet"/>
      <w:lvlText w:val=""/>
      <w:lvlJc w:val="left"/>
      <w:pPr>
        <w:ind w:left="3960" w:hanging="360"/>
      </w:pPr>
      <w:rPr>
        <w:rFonts w:ascii="Wingdings" w:hAnsi="Wingdings" w:hint="default"/>
      </w:rPr>
    </w:lvl>
    <w:lvl w:ilvl="6" w:tplc="8F820CF4" w:tentative="1">
      <w:start w:val="1"/>
      <w:numFmt w:val="bullet"/>
      <w:lvlText w:val=""/>
      <w:lvlJc w:val="left"/>
      <w:pPr>
        <w:ind w:left="4680" w:hanging="360"/>
      </w:pPr>
      <w:rPr>
        <w:rFonts w:ascii="Symbol" w:hAnsi="Symbol" w:hint="default"/>
      </w:rPr>
    </w:lvl>
    <w:lvl w:ilvl="7" w:tplc="2A427BE0" w:tentative="1">
      <w:start w:val="1"/>
      <w:numFmt w:val="bullet"/>
      <w:lvlText w:val="o"/>
      <w:lvlJc w:val="left"/>
      <w:pPr>
        <w:ind w:left="5400" w:hanging="360"/>
      </w:pPr>
      <w:rPr>
        <w:rFonts w:ascii="Courier New" w:hAnsi="Courier New" w:cs="Courier New" w:hint="default"/>
      </w:rPr>
    </w:lvl>
    <w:lvl w:ilvl="8" w:tplc="A5A8A0E2" w:tentative="1">
      <w:start w:val="1"/>
      <w:numFmt w:val="bullet"/>
      <w:lvlText w:val=""/>
      <w:lvlJc w:val="left"/>
      <w:pPr>
        <w:ind w:left="6120" w:hanging="360"/>
      </w:pPr>
      <w:rPr>
        <w:rFonts w:ascii="Wingdings" w:hAnsi="Wingdings" w:hint="default"/>
      </w:rPr>
    </w:lvl>
  </w:abstractNum>
  <w:abstractNum w:abstractNumId="4">
    <w:nsid w:val="22722A47"/>
    <w:multiLevelType w:val="hybridMultilevel"/>
    <w:tmpl w:val="307202DE"/>
    <w:lvl w:ilvl="0" w:tplc="D158C3E8">
      <w:start w:val="1"/>
      <w:numFmt w:val="bullet"/>
      <w:lvlText w:val=""/>
      <w:lvlJc w:val="left"/>
      <w:pPr>
        <w:ind w:left="360" w:hanging="360"/>
      </w:pPr>
      <w:rPr>
        <w:rFonts w:ascii="Symbol" w:hAnsi="Symbol" w:hint="default"/>
      </w:rPr>
    </w:lvl>
    <w:lvl w:ilvl="1" w:tplc="1B3661E4">
      <w:start w:val="1"/>
      <w:numFmt w:val="decimal"/>
      <w:lvlText w:val="%2."/>
      <w:lvlJc w:val="left"/>
      <w:pPr>
        <w:ind w:left="1080" w:hanging="360"/>
      </w:pPr>
      <w:rPr>
        <w:rFonts w:hint="default"/>
      </w:rPr>
    </w:lvl>
    <w:lvl w:ilvl="2" w:tplc="C6483A66" w:tentative="1">
      <w:start w:val="1"/>
      <w:numFmt w:val="bullet"/>
      <w:lvlText w:val=""/>
      <w:lvlJc w:val="left"/>
      <w:pPr>
        <w:ind w:left="1800" w:hanging="360"/>
      </w:pPr>
      <w:rPr>
        <w:rFonts w:ascii="Wingdings" w:hAnsi="Wingdings" w:hint="default"/>
      </w:rPr>
    </w:lvl>
    <w:lvl w:ilvl="3" w:tplc="DE92227A" w:tentative="1">
      <w:start w:val="1"/>
      <w:numFmt w:val="bullet"/>
      <w:lvlText w:val=""/>
      <w:lvlJc w:val="left"/>
      <w:pPr>
        <w:ind w:left="2520" w:hanging="360"/>
      </w:pPr>
      <w:rPr>
        <w:rFonts w:ascii="Symbol" w:hAnsi="Symbol" w:hint="default"/>
      </w:rPr>
    </w:lvl>
    <w:lvl w:ilvl="4" w:tplc="2A8EF008" w:tentative="1">
      <w:start w:val="1"/>
      <w:numFmt w:val="bullet"/>
      <w:lvlText w:val="o"/>
      <w:lvlJc w:val="left"/>
      <w:pPr>
        <w:ind w:left="3240" w:hanging="360"/>
      </w:pPr>
      <w:rPr>
        <w:rFonts w:ascii="Courier New" w:hAnsi="Courier New" w:cs="Courier New" w:hint="default"/>
      </w:rPr>
    </w:lvl>
    <w:lvl w:ilvl="5" w:tplc="0360E0C4" w:tentative="1">
      <w:start w:val="1"/>
      <w:numFmt w:val="bullet"/>
      <w:lvlText w:val=""/>
      <w:lvlJc w:val="left"/>
      <w:pPr>
        <w:ind w:left="3960" w:hanging="360"/>
      </w:pPr>
      <w:rPr>
        <w:rFonts w:ascii="Wingdings" w:hAnsi="Wingdings" w:hint="default"/>
      </w:rPr>
    </w:lvl>
    <w:lvl w:ilvl="6" w:tplc="48E00D90" w:tentative="1">
      <w:start w:val="1"/>
      <w:numFmt w:val="bullet"/>
      <w:lvlText w:val=""/>
      <w:lvlJc w:val="left"/>
      <w:pPr>
        <w:ind w:left="4680" w:hanging="360"/>
      </w:pPr>
      <w:rPr>
        <w:rFonts w:ascii="Symbol" w:hAnsi="Symbol" w:hint="default"/>
      </w:rPr>
    </w:lvl>
    <w:lvl w:ilvl="7" w:tplc="911ED4CE" w:tentative="1">
      <w:start w:val="1"/>
      <w:numFmt w:val="bullet"/>
      <w:lvlText w:val="o"/>
      <w:lvlJc w:val="left"/>
      <w:pPr>
        <w:ind w:left="5400" w:hanging="360"/>
      </w:pPr>
      <w:rPr>
        <w:rFonts w:ascii="Courier New" w:hAnsi="Courier New" w:cs="Courier New" w:hint="default"/>
      </w:rPr>
    </w:lvl>
    <w:lvl w:ilvl="8" w:tplc="798EA77A" w:tentative="1">
      <w:start w:val="1"/>
      <w:numFmt w:val="bullet"/>
      <w:lvlText w:val=""/>
      <w:lvlJc w:val="left"/>
      <w:pPr>
        <w:ind w:left="6120" w:hanging="360"/>
      </w:pPr>
      <w:rPr>
        <w:rFonts w:ascii="Wingdings" w:hAnsi="Wingdings" w:hint="default"/>
      </w:rPr>
    </w:lvl>
  </w:abstractNum>
  <w:abstractNum w:abstractNumId="5">
    <w:nsid w:val="232C0E2D"/>
    <w:multiLevelType w:val="hybridMultilevel"/>
    <w:tmpl w:val="29DEB73C"/>
    <w:lvl w:ilvl="0" w:tplc="719C09BE">
      <w:start w:val="1"/>
      <w:numFmt w:val="bullet"/>
      <w:lvlText w:val=""/>
      <w:lvlJc w:val="left"/>
      <w:pPr>
        <w:ind w:left="360" w:hanging="360"/>
      </w:pPr>
      <w:rPr>
        <w:rFonts w:ascii="Symbol" w:hAnsi="Symbol" w:hint="default"/>
      </w:rPr>
    </w:lvl>
    <w:lvl w:ilvl="1" w:tplc="266689D6" w:tentative="1">
      <w:start w:val="1"/>
      <w:numFmt w:val="bullet"/>
      <w:lvlText w:val="o"/>
      <w:lvlJc w:val="left"/>
      <w:pPr>
        <w:ind w:left="1080" w:hanging="360"/>
      </w:pPr>
      <w:rPr>
        <w:rFonts w:ascii="Courier New" w:hAnsi="Courier New" w:cs="Courier New" w:hint="default"/>
      </w:rPr>
    </w:lvl>
    <w:lvl w:ilvl="2" w:tplc="60B0A984" w:tentative="1">
      <w:start w:val="1"/>
      <w:numFmt w:val="bullet"/>
      <w:lvlText w:val=""/>
      <w:lvlJc w:val="left"/>
      <w:pPr>
        <w:ind w:left="1800" w:hanging="360"/>
      </w:pPr>
      <w:rPr>
        <w:rFonts w:ascii="Wingdings" w:hAnsi="Wingdings" w:hint="default"/>
      </w:rPr>
    </w:lvl>
    <w:lvl w:ilvl="3" w:tplc="D2243440" w:tentative="1">
      <w:start w:val="1"/>
      <w:numFmt w:val="bullet"/>
      <w:lvlText w:val=""/>
      <w:lvlJc w:val="left"/>
      <w:pPr>
        <w:ind w:left="2520" w:hanging="360"/>
      </w:pPr>
      <w:rPr>
        <w:rFonts w:ascii="Symbol" w:hAnsi="Symbol" w:hint="default"/>
      </w:rPr>
    </w:lvl>
    <w:lvl w:ilvl="4" w:tplc="00807A5E" w:tentative="1">
      <w:start w:val="1"/>
      <w:numFmt w:val="bullet"/>
      <w:lvlText w:val="o"/>
      <w:lvlJc w:val="left"/>
      <w:pPr>
        <w:ind w:left="3240" w:hanging="360"/>
      </w:pPr>
      <w:rPr>
        <w:rFonts w:ascii="Courier New" w:hAnsi="Courier New" w:cs="Courier New" w:hint="default"/>
      </w:rPr>
    </w:lvl>
    <w:lvl w:ilvl="5" w:tplc="E654C398" w:tentative="1">
      <w:start w:val="1"/>
      <w:numFmt w:val="bullet"/>
      <w:lvlText w:val=""/>
      <w:lvlJc w:val="left"/>
      <w:pPr>
        <w:ind w:left="3960" w:hanging="360"/>
      </w:pPr>
      <w:rPr>
        <w:rFonts w:ascii="Wingdings" w:hAnsi="Wingdings" w:hint="default"/>
      </w:rPr>
    </w:lvl>
    <w:lvl w:ilvl="6" w:tplc="1958A9F6" w:tentative="1">
      <w:start w:val="1"/>
      <w:numFmt w:val="bullet"/>
      <w:lvlText w:val=""/>
      <w:lvlJc w:val="left"/>
      <w:pPr>
        <w:ind w:left="4680" w:hanging="360"/>
      </w:pPr>
      <w:rPr>
        <w:rFonts w:ascii="Symbol" w:hAnsi="Symbol" w:hint="default"/>
      </w:rPr>
    </w:lvl>
    <w:lvl w:ilvl="7" w:tplc="F63AA3E8" w:tentative="1">
      <w:start w:val="1"/>
      <w:numFmt w:val="bullet"/>
      <w:lvlText w:val="o"/>
      <w:lvlJc w:val="left"/>
      <w:pPr>
        <w:ind w:left="5400" w:hanging="360"/>
      </w:pPr>
      <w:rPr>
        <w:rFonts w:ascii="Courier New" w:hAnsi="Courier New" w:cs="Courier New" w:hint="default"/>
      </w:rPr>
    </w:lvl>
    <w:lvl w:ilvl="8" w:tplc="88768EEC" w:tentative="1">
      <w:start w:val="1"/>
      <w:numFmt w:val="bullet"/>
      <w:lvlText w:val=""/>
      <w:lvlJc w:val="left"/>
      <w:pPr>
        <w:ind w:left="6120" w:hanging="360"/>
      </w:pPr>
      <w:rPr>
        <w:rFonts w:ascii="Wingdings" w:hAnsi="Wingdings" w:hint="default"/>
      </w:rPr>
    </w:lvl>
  </w:abstractNum>
  <w:abstractNum w:abstractNumId="6">
    <w:nsid w:val="3BF30BE4"/>
    <w:multiLevelType w:val="hybridMultilevel"/>
    <w:tmpl w:val="4864B8DA"/>
    <w:lvl w:ilvl="0" w:tplc="0C5436E8">
      <w:start w:val="1"/>
      <w:numFmt w:val="bullet"/>
      <w:lvlText w:val=""/>
      <w:lvlJc w:val="left"/>
      <w:pPr>
        <w:ind w:left="360" w:hanging="360"/>
      </w:pPr>
      <w:rPr>
        <w:rFonts w:ascii="Symbol" w:hAnsi="Symbol" w:hint="default"/>
      </w:rPr>
    </w:lvl>
    <w:lvl w:ilvl="1" w:tplc="B8366CC8" w:tentative="1">
      <w:start w:val="1"/>
      <w:numFmt w:val="bullet"/>
      <w:lvlText w:val="o"/>
      <w:lvlJc w:val="left"/>
      <w:pPr>
        <w:ind w:left="1080" w:hanging="360"/>
      </w:pPr>
      <w:rPr>
        <w:rFonts w:ascii="Courier New" w:hAnsi="Courier New" w:cs="Courier New" w:hint="default"/>
      </w:rPr>
    </w:lvl>
    <w:lvl w:ilvl="2" w:tplc="CF324CEA" w:tentative="1">
      <w:start w:val="1"/>
      <w:numFmt w:val="bullet"/>
      <w:lvlText w:val=""/>
      <w:lvlJc w:val="left"/>
      <w:pPr>
        <w:ind w:left="1800" w:hanging="360"/>
      </w:pPr>
      <w:rPr>
        <w:rFonts w:ascii="Wingdings" w:hAnsi="Wingdings" w:hint="default"/>
      </w:rPr>
    </w:lvl>
    <w:lvl w:ilvl="3" w:tplc="174E859A" w:tentative="1">
      <w:start w:val="1"/>
      <w:numFmt w:val="bullet"/>
      <w:lvlText w:val=""/>
      <w:lvlJc w:val="left"/>
      <w:pPr>
        <w:ind w:left="2520" w:hanging="360"/>
      </w:pPr>
      <w:rPr>
        <w:rFonts w:ascii="Symbol" w:hAnsi="Symbol" w:hint="default"/>
      </w:rPr>
    </w:lvl>
    <w:lvl w:ilvl="4" w:tplc="F7760784" w:tentative="1">
      <w:start w:val="1"/>
      <w:numFmt w:val="bullet"/>
      <w:lvlText w:val="o"/>
      <w:lvlJc w:val="left"/>
      <w:pPr>
        <w:ind w:left="3240" w:hanging="360"/>
      </w:pPr>
      <w:rPr>
        <w:rFonts w:ascii="Courier New" w:hAnsi="Courier New" w:cs="Courier New" w:hint="default"/>
      </w:rPr>
    </w:lvl>
    <w:lvl w:ilvl="5" w:tplc="C16E1266" w:tentative="1">
      <w:start w:val="1"/>
      <w:numFmt w:val="bullet"/>
      <w:lvlText w:val=""/>
      <w:lvlJc w:val="left"/>
      <w:pPr>
        <w:ind w:left="3960" w:hanging="360"/>
      </w:pPr>
      <w:rPr>
        <w:rFonts w:ascii="Wingdings" w:hAnsi="Wingdings" w:hint="default"/>
      </w:rPr>
    </w:lvl>
    <w:lvl w:ilvl="6" w:tplc="21644970" w:tentative="1">
      <w:start w:val="1"/>
      <w:numFmt w:val="bullet"/>
      <w:lvlText w:val=""/>
      <w:lvlJc w:val="left"/>
      <w:pPr>
        <w:ind w:left="4680" w:hanging="360"/>
      </w:pPr>
      <w:rPr>
        <w:rFonts w:ascii="Symbol" w:hAnsi="Symbol" w:hint="default"/>
      </w:rPr>
    </w:lvl>
    <w:lvl w:ilvl="7" w:tplc="BC94F2C0" w:tentative="1">
      <w:start w:val="1"/>
      <w:numFmt w:val="bullet"/>
      <w:lvlText w:val="o"/>
      <w:lvlJc w:val="left"/>
      <w:pPr>
        <w:ind w:left="5400" w:hanging="360"/>
      </w:pPr>
      <w:rPr>
        <w:rFonts w:ascii="Courier New" w:hAnsi="Courier New" w:cs="Courier New" w:hint="default"/>
      </w:rPr>
    </w:lvl>
    <w:lvl w:ilvl="8" w:tplc="4D4852A6" w:tentative="1">
      <w:start w:val="1"/>
      <w:numFmt w:val="bullet"/>
      <w:lvlText w:val=""/>
      <w:lvlJc w:val="left"/>
      <w:pPr>
        <w:ind w:left="6120" w:hanging="360"/>
      </w:pPr>
      <w:rPr>
        <w:rFonts w:ascii="Wingdings" w:hAnsi="Wingdings" w:hint="default"/>
      </w:rPr>
    </w:lvl>
  </w:abstractNum>
  <w:abstractNum w:abstractNumId="7">
    <w:nsid w:val="5F9825F5"/>
    <w:multiLevelType w:val="hybridMultilevel"/>
    <w:tmpl w:val="E73EF744"/>
    <w:lvl w:ilvl="0" w:tplc="909E6ACE">
      <w:start w:val="1"/>
      <w:numFmt w:val="bullet"/>
      <w:lvlText w:val=""/>
      <w:lvlJc w:val="left"/>
      <w:pPr>
        <w:ind w:left="360" w:hanging="360"/>
      </w:pPr>
      <w:rPr>
        <w:rFonts w:ascii="Symbol" w:hAnsi="Symbol" w:hint="default"/>
      </w:rPr>
    </w:lvl>
    <w:lvl w:ilvl="1" w:tplc="CB4A9168">
      <w:start w:val="1"/>
      <w:numFmt w:val="bullet"/>
      <w:lvlText w:val="o"/>
      <w:lvlJc w:val="left"/>
      <w:pPr>
        <w:ind w:left="1080" w:hanging="360"/>
      </w:pPr>
      <w:rPr>
        <w:rFonts w:ascii="Courier New" w:hAnsi="Courier New" w:cs="MS Mincho" w:hint="default"/>
      </w:rPr>
    </w:lvl>
    <w:lvl w:ilvl="2" w:tplc="E966B694" w:tentative="1">
      <w:start w:val="1"/>
      <w:numFmt w:val="bullet"/>
      <w:lvlText w:val=""/>
      <w:lvlJc w:val="left"/>
      <w:pPr>
        <w:ind w:left="1800" w:hanging="360"/>
      </w:pPr>
      <w:rPr>
        <w:rFonts w:ascii="Wingdings" w:hAnsi="Wingdings" w:hint="default"/>
      </w:rPr>
    </w:lvl>
    <w:lvl w:ilvl="3" w:tplc="D138EEE4" w:tentative="1">
      <w:start w:val="1"/>
      <w:numFmt w:val="bullet"/>
      <w:lvlText w:val=""/>
      <w:lvlJc w:val="left"/>
      <w:pPr>
        <w:ind w:left="2520" w:hanging="360"/>
      </w:pPr>
      <w:rPr>
        <w:rFonts w:ascii="Symbol" w:hAnsi="Symbol" w:hint="default"/>
      </w:rPr>
    </w:lvl>
    <w:lvl w:ilvl="4" w:tplc="51C68DF8" w:tentative="1">
      <w:start w:val="1"/>
      <w:numFmt w:val="bullet"/>
      <w:lvlText w:val="o"/>
      <w:lvlJc w:val="left"/>
      <w:pPr>
        <w:ind w:left="3240" w:hanging="360"/>
      </w:pPr>
      <w:rPr>
        <w:rFonts w:ascii="Courier New" w:hAnsi="Courier New" w:cs="MS Mincho" w:hint="default"/>
      </w:rPr>
    </w:lvl>
    <w:lvl w:ilvl="5" w:tplc="CAD27A1E" w:tentative="1">
      <w:start w:val="1"/>
      <w:numFmt w:val="bullet"/>
      <w:lvlText w:val=""/>
      <w:lvlJc w:val="left"/>
      <w:pPr>
        <w:ind w:left="3960" w:hanging="360"/>
      </w:pPr>
      <w:rPr>
        <w:rFonts w:ascii="Wingdings" w:hAnsi="Wingdings" w:hint="default"/>
      </w:rPr>
    </w:lvl>
    <w:lvl w:ilvl="6" w:tplc="473ADA52" w:tentative="1">
      <w:start w:val="1"/>
      <w:numFmt w:val="bullet"/>
      <w:lvlText w:val=""/>
      <w:lvlJc w:val="left"/>
      <w:pPr>
        <w:ind w:left="4680" w:hanging="360"/>
      </w:pPr>
      <w:rPr>
        <w:rFonts w:ascii="Symbol" w:hAnsi="Symbol" w:hint="default"/>
      </w:rPr>
    </w:lvl>
    <w:lvl w:ilvl="7" w:tplc="0C32454E" w:tentative="1">
      <w:start w:val="1"/>
      <w:numFmt w:val="bullet"/>
      <w:lvlText w:val="o"/>
      <w:lvlJc w:val="left"/>
      <w:pPr>
        <w:ind w:left="5400" w:hanging="360"/>
      </w:pPr>
      <w:rPr>
        <w:rFonts w:ascii="Courier New" w:hAnsi="Courier New" w:cs="MS Mincho" w:hint="default"/>
      </w:rPr>
    </w:lvl>
    <w:lvl w:ilvl="8" w:tplc="58784838"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D2"/>
    <w:rsid w:val="00146A54"/>
    <w:rsid w:val="00183C38"/>
    <w:rsid w:val="002065D4"/>
    <w:rsid w:val="00246B6F"/>
    <w:rsid w:val="00671CD2"/>
    <w:rsid w:val="009551A9"/>
    <w:rsid w:val="00A47DA5"/>
    <w:rsid w:val="00C432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CD2"/>
    <w:pPr>
      <w:ind w:left="720"/>
      <w:contextualSpacing/>
    </w:pPr>
  </w:style>
  <w:style w:type="character" w:styleId="CommentReference">
    <w:name w:val="annotation reference"/>
    <w:uiPriority w:val="99"/>
    <w:rsid w:val="00671CD2"/>
    <w:rPr>
      <w:rFonts w:cs="Times New Roman"/>
      <w:sz w:val="16"/>
    </w:rPr>
  </w:style>
  <w:style w:type="paragraph" w:styleId="CommentText">
    <w:name w:val="annotation text"/>
    <w:basedOn w:val="Normal"/>
    <w:link w:val="CommentTextChar"/>
    <w:uiPriority w:val="99"/>
    <w:rsid w:val="00671CD2"/>
    <w:pPr>
      <w:jc w:val="both"/>
    </w:pPr>
    <w:rPr>
      <w:rFonts w:eastAsia="Calibri"/>
      <w:sz w:val="20"/>
      <w:szCs w:val="20"/>
      <w:lang w:eastAsia="en-AU"/>
    </w:rPr>
  </w:style>
  <w:style w:type="character" w:customStyle="1" w:styleId="CommentTextChar">
    <w:name w:val="Comment Text Char"/>
    <w:link w:val="CommentText"/>
    <w:uiPriority w:val="99"/>
    <w:rsid w:val="00671CD2"/>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71CD2"/>
    <w:rPr>
      <w:rFonts w:ascii="Tahoma" w:hAnsi="Tahoma" w:cs="Tahoma"/>
      <w:sz w:val="16"/>
      <w:szCs w:val="16"/>
    </w:rPr>
  </w:style>
  <w:style w:type="character" w:customStyle="1" w:styleId="BalloonTextChar">
    <w:name w:val="Balloon Text Char"/>
    <w:link w:val="BalloonText"/>
    <w:uiPriority w:val="99"/>
    <w:semiHidden/>
    <w:rsid w:val="00671CD2"/>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B0385B"/>
    <w:rPr>
      <w:sz w:val="20"/>
      <w:szCs w:val="20"/>
    </w:rPr>
  </w:style>
  <w:style w:type="character" w:customStyle="1" w:styleId="FootnoteTextChar">
    <w:name w:val="Footnote Text Char"/>
    <w:link w:val="FootnoteText"/>
    <w:uiPriority w:val="99"/>
    <w:semiHidden/>
    <w:rsid w:val="00B0385B"/>
    <w:rPr>
      <w:rFonts w:ascii="Times New Roman" w:eastAsia="MS Mincho" w:hAnsi="Times New Roman" w:cs="Times New Roman"/>
      <w:sz w:val="20"/>
      <w:szCs w:val="20"/>
      <w:lang w:val="en-AU" w:eastAsia="ja-JP"/>
    </w:rPr>
  </w:style>
  <w:style w:type="character" w:styleId="FootnoteReference">
    <w:name w:val="footnote reference"/>
    <w:uiPriority w:val="99"/>
    <w:semiHidden/>
    <w:unhideWhenUsed/>
    <w:rsid w:val="00B0385B"/>
    <w:rPr>
      <w:vertAlign w:val="superscript"/>
    </w:rPr>
  </w:style>
  <w:style w:type="paragraph" w:styleId="Header">
    <w:name w:val="header"/>
    <w:aliases w:val="ARC header"/>
    <w:basedOn w:val="Normal"/>
    <w:link w:val="HeaderChar"/>
    <w:uiPriority w:val="99"/>
    <w:unhideWhenUsed/>
    <w:rsid w:val="00B0385B"/>
    <w:pPr>
      <w:tabs>
        <w:tab w:val="center" w:pos="4513"/>
        <w:tab w:val="right" w:pos="9026"/>
      </w:tabs>
    </w:pPr>
  </w:style>
  <w:style w:type="character" w:customStyle="1" w:styleId="HeaderChar">
    <w:name w:val="Header Char"/>
    <w:aliases w:val="ARC header Char"/>
    <w:link w:val="Header"/>
    <w:uiPriority w:val="99"/>
    <w:rsid w:val="00B0385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B0385B"/>
    <w:pPr>
      <w:tabs>
        <w:tab w:val="center" w:pos="4513"/>
        <w:tab w:val="right" w:pos="9026"/>
      </w:tabs>
    </w:pPr>
  </w:style>
  <w:style w:type="character" w:customStyle="1" w:styleId="FooterChar">
    <w:name w:val="Footer Char"/>
    <w:link w:val="Footer"/>
    <w:uiPriority w:val="99"/>
    <w:rsid w:val="00B0385B"/>
    <w:rPr>
      <w:rFonts w:ascii="Times New Roman" w:eastAsia="MS Mincho" w:hAnsi="Times New Roman" w:cs="Times New Roman"/>
      <w:sz w:val="24"/>
      <w:szCs w:val="24"/>
      <w:lang w:val="en-AU" w:eastAsia="ja-JP"/>
    </w:rPr>
  </w:style>
  <w:style w:type="character" w:styleId="Hyperlink">
    <w:name w:val="Hyperlink"/>
    <w:uiPriority w:val="99"/>
    <w:unhideWhenUsed/>
    <w:rsid w:val="00EF0E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CD2"/>
    <w:pPr>
      <w:ind w:left="720"/>
      <w:contextualSpacing/>
    </w:pPr>
  </w:style>
  <w:style w:type="character" w:styleId="CommentReference">
    <w:name w:val="annotation reference"/>
    <w:uiPriority w:val="99"/>
    <w:rsid w:val="00671CD2"/>
    <w:rPr>
      <w:rFonts w:cs="Times New Roman"/>
      <w:sz w:val="16"/>
    </w:rPr>
  </w:style>
  <w:style w:type="paragraph" w:styleId="CommentText">
    <w:name w:val="annotation text"/>
    <w:basedOn w:val="Normal"/>
    <w:link w:val="CommentTextChar"/>
    <w:uiPriority w:val="99"/>
    <w:rsid w:val="00671CD2"/>
    <w:pPr>
      <w:jc w:val="both"/>
    </w:pPr>
    <w:rPr>
      <w:rFonts w:eastAsia="Calibri"/>
      <w:sz w:val="20"/>
      <w:szCs w:val="20"/>
      <w:lang w:eastAsia="en-AU"/>
    </w:rPr>
  </w:style>
  <w:style w:type="character" w:customStyle="1" w:styleId="CommentTextChar">
    <w:name w:val="Comment Text Char"/>
    <w:link w:val="CommentText"/>
    <w:uiPriority w:val="99"/>
    <w:rsid w:val="00671CD2"/>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71CD2"/>
    <w:rPr>
      <w:rFonts w:ascii="Tahoma" w:hAnsi="Tahoma" w:cs="Tahoma"/>
      <w:sz w:val="16"/>
      <w:szCs w:val="16"/>
    </w:rPr>
  </w:style>
  <w:style w:type="character" w:customStyle="1" w:styleId="BalloonTextChar">
    <w:name w:val="Balloon Text Char"/>
    <w:link w:val="BalloonText"/>
    <w:uiPriority w:val="99"/>
    <w:semiHidden/>
    <w:rsid w:val="00671CD2"/>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B0385B"/>
    <w:rPr>
      <w:sz w:val="20"/>
      <w:szCs w:val="20"/>
    </w:rPr>
  </w:style>
  <w:style w:type="character" w:customStyle="1" w:styleId="FootnoteTextChar">
    <w:name w:val="Footnote Text Char"/>
    <w:link w:val="FootnoteText"/>
    <w:uiPriority w:val="99"/>
    <w:semiHidden/>
    <w:rsid w:val="00B0385B"/>
    <w:rPr>
      <w:rFonts w:ascii="Times New Roman" w:eastAsia="MS Mincho" w:hAnsi="Times New Roman" w:cs="Times New Roman"/>
      <w:sz w:val="20"/>
      <w:szCs w:val="20"/>
      <w:lang w:val="en-AU" w:eastAsia="ja-JP"/>
    </w:rPr>
  </w:style>
  <w:style w:type="character" w:styleId="FootnoteReference">
    <w:name w:val="footnote reference"/>
    <w:uiPriority w:val="99"/>
    <w:semiHidden/>
    <w:unhideWhenUsed/>
    <w:rsid w:val="00B0385B"/>
    <w:rPr>
      <w:vertAlign w:val="superscript"/>
    </w:rPr>
  </w:style>
  <w:style w:type="paragraph" w:styleId="Header">
    <w:name w:val="header"/>
    <w:aliases w:val="ARC header"/>
    <w:basedOn w:val="Normal"/>
    <w:link w:val="HeaderChar"/>
    <w:uiPriority w:val="99"/>
    <w:unhideWhenUsed/>
    <w:rsid w:val="00B0385B"/>
    <w:pPr>
      <w:tabs>
        <w:tab w:val="center" w:pos="4513"/>
        <w:tab w:val="right" w:pos="9026"/>
      </w:tabs>
    </w:pPr>
  </w:style>
  <w:style w:type="character" w:customStyle="1" w:styleId="HeaderChar">
    <w:name w:val="Header Char"/>
    <w:aliases w:val="ARC header Char"/>
    <w:link w:val="Header"/>
    <w:uiPriority w:val="99"/>
    <w:rsid w:val="00B0385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B0385B"/>
    <w:pPr>
      <w:tabs>
        <w:tab w:val="center" w:pos="4513"/>
        <w:tab w:val="right" w:pos="9026"/>
      </w:tabs>
    </w:pPr>
  </w:style>
  <w:style w:type="character" w:customStyle="1" w:styleId="FooterChar">
    <w:name w:val="Footer Char"/>
    <w:link w:val="Footer"/>
    <w:uiPriority w:val="99"/>
    <w:rsid w:val="00B0385B"/>
    <w:rPr>
      <w:rFonts w:ascii="Times New Roman" w:eastAsia="MS Mincho" w:hAnsi="Times New Roman" w:cs="Times New Roman"/>
      <w:sz w:val="24"/>
      <w:szCs w:val="24"/>
      <w:lang w:val="en-AU" w:eastAsia="ja-JP"/>
    </w:rPr>
  </w:style>
  <w:style w:type="character" w:styleId="Hyperlink">
    <w:name w:val="Hyperlink"/>
    <w:uiPriority w:val="99"/>
    <w:unhideWhenUsed/>
    <w:rsid w:val="00EF0E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BC4D2-EF8B-4D81-9263-EFDFDE3A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Links>
    <vt:vector size="6" baseType="variant">
      <vt:variant>
        <vt:i4>2293772</vt:i4>
      </vt:variant>
      <vt:variant>
        <vt:i4>0</vt:i4>
      </vt:variant>
      <vt:variant>
        <vt:i4>0</vt:i4>
      </vt:variant>
      <vt:variant>
        <vt:i4>5</vt:i4>
      </vt:variant>
      <vt:variant>
        <vt:lpwstr>http://www.unicef.org/pacificislands/IRC_CCSGuide_FullGuide_lowres.pdf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9</cp:revision>
  <dcterms:created xsi:type="dcterms:W3CDTF">2015-02-17T13:08:00Z</dcterms:created>
  <dcterms:modified xsi:type="dcterms:W3CDTF">2015-02-20T14:34:00Z</dcterms:modified>
</cp:coreProperties>
</file>